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7D" w:rsidRPr="001D6CAC" w:rsidRDefault="001D6CAC" w:rsidP="001D6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CAC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ТОРГОВЕЛЬНО-ЕКОНОМІЧНИЙ УНІВЕРСИТЕТ</w:t>
      </w:r>
    </w:p>
    <w:p w:rsidR="001D6CAC" w:rsidRDefault="001D6CAC" w:rsidP="001D6CA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D6CAC" w:rsidRDefault="001D6CAC" w:rsidP="001D6CA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D6CAC" w:rsidRDefault="001D6CAC" w:rsidP="001D6CA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D6CAC" w:rsidRDefault="001D6CAC" w:rsidP="001D6CA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D6CAC" w:rsidRDefault="001D6CAC" w:rsidP="001D6CA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D6CAC" w:rsidRDefault="001D6CAC" w:rsidP="001D6CA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D6CAC" w:rsidRPr="001D6CAC" w:rsidRDefault="001D6CAC" w:rsidP="001D6CA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D6CAC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Конституційне право на звернення до міжнародних судових установ та міжнародних організацій</w:t>
      </w:r>
    </w:p>
    <w:p w:rsidR="001D6CAC" w:rsidRPr="001D6CAC" w:rsidRDefault="001D6CAC" w:rsidP="001D6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CAC">
        <w:rPr>
          <w:rFonts w:ascii="Times New Roman" w:hAnsi="Times New Roman" w:cs="Times New Roman"/>
          <w:sz w:val="28"/>
          <w:szCs w:val="28"/>
          <w:lang w:val="uk-UA"/>
        </w:rPr>
        <w:t>РЕФЕРАТ</w:t>
      </w:r>
    </w:p>
    <w:p w:rsidR="001D6CAC" w:rsidRPr="001D6CAC" w:rsidRDefault="001D6CAC" w:rsidP="001D6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CAC">
        <w:rPr>
          <w:rFonts w:ascii="Times New Roman" w:hAnsi="Times New Roman" w:cs="Times New Roman"/>
          <w:sz w:val="28"/>
          <w:szCs w:val="28"/>
          <w:lang w:val="uk-UA"/>
        </w:rPr>
        <w:t>ДЕШКО ЛЮДМИЛА МИКОЛАЇВНА</w:t>
      </w: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 юридичних наук, доцент,</w:t>
      </w: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міжнародного публічного права</w:t>
      </w: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національного торговельно-економічного університету</w:t>
      </w: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– 2018</w:t>
      </w:r>
    </w:p>
    <w:p w:rsidR="001D6CAC" w:rsidRDefault="001D6CAC" w:rsidP="001D6CA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AC" w:rsidRDefault="001D6CAC" w:rsidP="001D6CA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15A" w:rsidRDefault="00AE39A7" w:rsidP="00BC3C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E39A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Представлена робота </w:t>
      </w:r>
      <w:r w:rsidR="00CC6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="00CC6108">
        <w:rPr>
          <w:rFonts w:ascii="Times New Roman" w:hAnsi="Times New Roman"/>
          <w:color w:val="000000" w:themeColor="text1"/>
          <w:sz w:val="28"/>
          <w:szCs w:val="28"/>
          <w:lang w:val="uk-UA"/>
        </w:rPr>
        <w:t>порівняльно-правовим дослідженням конституційного права кожного на звернення</w:t>
      </w:r>
      <w:r w:rsidR="00CC61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міжнародних судових установ та міжнародних організацій.</w:t>
      </w:r>
      <w:r w:rsidR="00C265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11015A" w:rsidRDefault="0011015A" w:rsidP="00BC3C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 є членом ООН, Ради Європи та інших міжнародних організацій, стороною основних міжнародних договорів у сфері захисту прав людини і основних свобод. Одним 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індикаторів виконання державою своїх міжнародних зобов’язань у галузі прав людини є досконале визначення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механізму забезпечення конституційного права кожного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організацій, членом або учасником яких вона є.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Зазначений механізм, по-перше, створює умови для реалізації цього конституційного права. По-друге, допомагає державі виявляти структурні або загальні недоліки в національному праві або практиці, першопричини недоліків системного характеру, які лежать в основі його порушення, та усувати їх. По-третє, здійснювати контроль за ефективністю наявних національних засобів юридичного захисту і в разі необхідності запроваджувати спеціальні, розширювати наявні чи створювати нові ефективні засоби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юридичного захисту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По-четверте, дає можливість відновити порушене право людини на національному рівні відповідно до принципу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субсидіарності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1015A" w:rsidRDefault="0011015A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Актуальність дослідження конституційного права кожного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звертатися до відповідних міжнародних судових установ чи до відповідних органів міжнародних організацій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викликана назрілими суспільними потребами та теоретичною неопрацьованістю питань методологічних принципів та підходів до дослідження зазначеного конституційного права, його сутності, ознак, змісту, співвідношення з іншими правами та місця в системі конституційних прав людини і громадянина; конституційно-правового механізму забезпечення цього права; удосконалення наявних гарантій його реалізації та запровадження нових відповідно до актів міжнародних організацій, практики міжнародних судових установ та з урахуванням досвіду зарубіжних країн тощо.</w:t>
      </w:r>
    </w:p>
    <w:p w:rsidR="0011015A" w:rsidRDefault="0011015A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огляду на викладене, дослідження конституційного права кожного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звертатися за захистом своїх прав і свобод до відповідних міжнародних судових установ чи до відповідних органів міжнародних організацій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актуальним та теоретично і практично назрілим.</w:t>
      </w:r>
    </w:p>
    <w:p w:rsidR="002D4100" w:rsidRDefault="002D4100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Метою дослідження є розробка концепції конституційно-правового забезпечення права кожного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організацій, членом або учасником яких є Україна, з урахуванням закордонного досвіду, та вироблення пропозицій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вдосконалення конституційно-правового регулювання та практики реалізації цього права.</w:t>
      </w:r>
    </w:p>
    <w:p w:rsidR="0070606F" w:rsidRPr="000A2D96" w:rsidRDefault="0070606F" w:rsidP="00BC3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Наукова новизна представленого дослідження </w:t>
      </w:r>
      <w:r w:rsidR="00943619" w:rsidRPr="000A2D9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основні наукові результати у порівнянні з кращими вітчизняними та зарубіжними аналогами полягають в такому:</w:t>
      </w:r>
    </w:p>
    <w:p w:rsidR="00AE39A7" w:rsidRPr="000A2D96" w:rsidRDefault="00943619" w:rsidP="00BC3CC2">
      <w:pPr>
        <w:tabs>
          <w:tab w:val="left" w:pos="31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A2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 Доктринальні дослідження та </w:t>
      </w:r>
      <w:proofErr w:type="spellStart"/>
      <w:r w:rsidRPr="000A2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генеза</w:t>
      </w:r>
      <w:proofErr w:type="spellEnd"/>
      <w:r w:rsidRPr="000A2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конституційного права звертатися до міжнародних судових установ та міжнародних організацій</w:t>
      </w:r>
    </w:p>
    <w:p w:rsidR="000A2D96" w:rsidRPr="000A2D96" w:rsidRDefault="000A2D96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2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Розглянуто історіографію та бібліографію досліджень конституційного права звертатися до міжнародних судових установ та міжнародних організацій, розкрито методологію дослідження цього конституційного права, проаналізовано процес еволюції ідеї захисту прав людини, її трансформацію в принцип захисту прав людини в правових системах держав та міжнародній правовій системі, процес еволюції принципу захисту прав людини в Європейських Співтовариствах і Європейському Союзі, Україні, становлення та розвитку конституційного права звертатися до міжнародних судових установ та міжнародних організацій в Україні.</w:t>
      </w:r>
    </w:p>
    <w:p w:rsidR="007D5D44" w:rsidRPr="00AC2372" w:rsidRDefault="002A37C6" w:rsidP="00AC237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E7728">
        <w:rPr>
          <w:rFonts w:ascii="Times New Roman" w:hAnsi="Times New Roman"/>
          <w:color w:val="000000" w:themeColor="text1"/>
          <w:sz w:val="28"/>
          <w:szCs w:val="28"/>
          <w:lang w:val="uk-UA"/>
        </w:rPr>
        <w:t>Вперше в юридичній науці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з</w:t>
      </w:r>
      <w:r w:rsidR="004B17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дійснено системний аналіз еволюції поглядів на конституційне право </w:t>
      </w:r>
      <w:r w:rsidR="004B17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звертатися за захистом своїх прав і свобод до відповідних міжнародних судових установ чи до відповідних органів міжнародних організацій</w:t>
      </w:r>
      <w:r w:rsidR="004B17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вітчизняному правознавстві та визначено основні закономірності </w:t>
      </w:r>
      <w:r w:rsidR="004B178A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процесу їх розвитку</w:t>
      </w:r>
      <w:r w:rsidR="007D5D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C23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D5D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Обґрунтовано періодизацію процесу розвитку вітчизняної наукової думки щодо досліджуваного конституційного </w:t>
      </w:r>
      <w:r w:rsidR="007D5D4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права </w:t>
      </w:r>
      <w:r w:rsidR="007D5D4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людини</w:t>
      </w:r>
      <w:r w:rsidR="007D5D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609ED" w:rsidRDefault="00A609ED" w:rsidP="001E772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Розкрито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генезу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ідеї права кожного звертатися за захистом своїх прав і свобод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до відповідних міжнародних судових установ чи до відповідних органів міжнародних організацій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: від ідеї захисту прав людини до трансформації її в принцип захисту прав людини в правових системах держав та міжнародній правовій системі.</w:t>
      </w:r>
      <w:r w:rsidR="001E77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Вперше в юридичній науці 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иділено основні етапи становлення та розвитку принципу захисту прав людини в праві Європейського Союзу.</w:t>
      </w:r>
      <w:r w:rsidR="001E77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Доведено факт взаємодії та взаємовпливу конституційного і міжнародного права на розвиток права кожного звертатися до міжнародних судових установ та міжнародних організацій у різні історичні періоди. Обґрунтовано, що міжнародно-правова регламентація цього права спирається на спільні конституційні традиції держав, а також що це право трансформувалося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принцип-гарантію.</w:t>
      </w:r>
    </w:p>
    <w:p w:rsidR="004B178A" w:rsidRDefault="00A609ED" w:rsidP="00BC3CC2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Вперше в юридичній науці</w:t>
      </w:r>
      <w:r w:rsidR="004B17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178A">
        <w:rPr>
          <w:rFonts w:ascii="Times New Roman" w:hAnsi="Times New Roman"/>
          <w:color w:val="000000" w:themeColor="text1"/>
          <w:sz w:val="28"/>
          <w:szCs w:val="28"/>
          <w:lang w:val="uk-UA"/>
        </w:rPr>
        <w:t>виявлено та охарактеризовано особливості принципу захисту прав і свобод людини і громадянина як універсального принципу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43619" w:rsidRPr="00BF37E9" w:rsidRDefault="001E7728" w:rsidP="00BF37E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A609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перше </w:t>
      </w:r>
      <w:r w:rsidR="004B17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виділено основні періоди становлення та розвитку конституційного права </w:t>
      </w:r>
      <w:r w:rsidR="004B17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звертатися за </w:t>
      </w:r>
      <w:r w:rsidR="004B178A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захистом своїх прав і свобод до відповідних міжнародних судових установ чи до відповідних органів міжнародних організацій</w:t>
      </w:r>
      <w:r w:rsidR="004B178A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 у контексті </w:t>
      </w:r>
      <w:proofErr w:type="spellStart"/>
      <w:r w:rsidR="004B178A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генези</w:t>
      </w:r>
      <w:proofErr w:type="spellEnd"/>
      <w:r w:rsidR="004B178A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 національної системи конституційного права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.</w:t>
      </w:r>
      <w:r w:rsidR="00BF37E9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A609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Встановлено, що </w:t>
      </w:r>
      <w:r w:rsidR="007A2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це </w:t>
      </w:r>
      <w:r w:rsidR="00A609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право </w:t>
      </w:r>
      <w:r w:rsidR="00A609ED">
        <w:rPr>
          <w:rFonts w:ascii="Times New Roman" w:hAnsi="Times New Roman"/>
          <w:color w:val="000000" w:themeColor="text1"/>
          <w:sz w:val="28"/>
          <w:szCs w:val="28"/>
          <w:lang w:val="uk-UA"/>
        </w:rPr>
        <w:t>є безпосереднім розвитком принципу захисту прав людини.</w:t>
      </w:r>
    </w:p>
    <w:p w:rsidR="00A609ED" w:rsidRDefault="00A609ED" w:rsidP="00BC3CC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Аргументовано,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дослідження </w:t>
      </w:r>
      <w:r w:rsidR="007A2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зазначеного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конституційного права не може бути побудоване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трансдисциплінарному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мультидисциплінарному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дисциплінарному підходах, а має бути побудоване на міждисциплінарному. </w:t>
      </w:r>
    </w:p>
    <w:p w:rsidR="00943619" w:rsidRPr="00A609ED" w:rsidRDefault="00A609ED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одатково аргументовано твердження про те, що принцип універсалізму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зводить наявні сумарні системи знань до спрощеної схеми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 навпаки в міждисциплінарному дослідженні є методологічною засадою вирішення комплексної проблеми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конституційного права звертатися до міжнародних судових установ та міжнародних організацій. Обґрунтовано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необхідність оновлення міждисциплінарного підходу з огляду на такі чинники: 1) швидкий розвиток глобалізації та її вплив на правову систему держави та міжнародну правову систему; 2) ускладнення внутрішньодержавної та міжнародної системи захисту прав людини і основних свобод; 3) зростання спеціалізації наук. Встановлено, що одним зі складників методологічного оновлення є конструктивний синтез наукових досліджень у сфері прав людини.</w:t>
      </w:r>
    </w:p>
    <w:p w:rsidR="00943619" w:rsidRPr="00D538AE" w:rsidRDefault="00943619" w:rsidP="00BC3CC2">
      <w:pPr>
        <w:pStyle w:val="a4"/>
        <w:tabs>
          <w:tab w:val="left" w:pos="31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538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 Конституційне право звертатися до міжнародних судових установ та міжнародних організацій</w:t>
      </w:r>
      <w:r w:rsidR="004B178A" w:rsidRPr="00D538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 системі конституційних прав і свобод людини і громадянина</w:t>
      </w:r>
    </w:p>
    <w:p w:rsidR="000A2D96" w:rsidRDefault="00A609ED" w:rsidP="00BC3C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0A2D96">
        <w:rPr>
          <w:rFonts w:ascii="Times New Roman" w:hAnsi="Times New Roman"/>
          <w:color w:val="000000" w:themeColor="text1"/>
          <w:sz w:val="28"/>
          <w:szCs w:val="28"/>
          <w:lang w:val="uk-UA"/>
        </w:rPr>
        <w:t>роаналізовано основні наукові підходи щодо сутності, ознак, змісту, суб’єктів конституційного права звертатися до міжнародних судових установ та міжнародних організацій, його місця в системі</w:t>
      </w:r>
      <w:r w:rsidR="000A2D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A2D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конституційних прав людини і громадянина, співвідношення з іншими правами людини і громадянина.</w:t>
      </w:r>
    </w:p>
    <w:p w:rsidR="00A24DB7" w:rsidRPr="00BF37E9" w:rsidRDefault="00A24DB7" w:rsidP="00BF37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Встановлено правову природу об</w:t>
      </w:r>
      <w:r>
        <w:rPr>
          <w:rFonts w:ascii="Times New Roman" w:hAnsi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єктивного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єктивного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права кожного звертатися до міжнародних судових установ та міжнародних організацій. </w:t>
      </w:r>
      <w:r w:rsidR="00D5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A2D96" w:rsidRPr="00D538AE">
        <w:rPr>
          <w:rFonts w:ascii="Times New Roman" w:hAnsi="Times New Roman"/>
          <w:color w:val="000000" w:themeColor="text1"/>
          <w:sz w:val="28"/>
          <w:szCs w:val="28"/>
          <w:lang w:val="uk-UA"/>
        </w:rPr>
        <w:t>Вперше</w:t>
      </w:r>
      <w:r w:rsidRP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юридичній науці з урахуванням основних ознак </w:t>
      </w:r>
      <w:r w:rsidR="007A21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цього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об’єктивного сформульовано його визначення. З урахуванням основних ознак суб’єктивного права кожного звертатися до відповідних міжнародних судових установ чи до відповідних органів міжнародних організацій вперше в юридичній науці сформульовано його визначення</w:t>
      </w:r>
      <w:r w:rsidR="00D538A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A24DB7" w:rsidRPr="00D538AE" w:rsidRDefault="00A24DB7" w:rsidP="00D538A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Виявлено ознаки</w:t>
      </w:r>
      <w:r w:rsidR="00BF37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досліджуваного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конституційного права </w:t>
      </w:r>
      <w:r w:rsidR="00BF37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BF37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иділено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елементи </w:t>
      </w:r>
      <w:r w:rsidR="00BF3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змісту</w:t>
      </w:r>
      <w:r w:rsidR="00BF37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24DB7" w:rsidRDefault="00A24DB7" w:rsidP="00BC3CC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Обґрунтовано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зміст конституційного права звертатися до відповідних міжнародних судових установ чи до відповідних органів міжнародних організацій не вичерпується ані тричленною (право-поведінка, право-вимога, право-претензія), ані чотиричленною структурою (право-поведінка, право-вимога, право-претензія, право-користування).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Доведено, що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право звертатися за захистом своїх прав і свобод до міжнародних судових установ та до органів міжнародних організацій, членом або учасником яких є Україна, включає в себе дві правомочності: право-поведінку і право-вимогу. </w:t>
      </w:r>
    </w:p>
    <w:p w:rsidR="00DD5FB9" w:rsidRDefault="00D538AE" w:rsidP="00DD5FB9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Вперше в юридичній науці</w:t>
      </w:r>
      <w:r w:rsidR="00A24D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D5F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класифіковано конституції </w:t>
      </w:r>
      <w:r w:rsidR="00DD5FB9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держав-учасниць СНД та ЄС за такими критеріями: 1) залежно від ступеня конкретизації норм, що забезпечують право звертатися до відповідних міжнародних судових установ чи до відповідних органів міжнародних організацій; 2) залежно від того, чи закріплене право кожного звертатися до міждержавних органів із захисту прав і свобод людини як самостійне суб'єктивне конституційне право або як структурний елемент іншого суб'єктивного конституційного права.</w:t>
      </w:r>
    </w:p>
    <w:p w:rsidR="00A24DB7" w:rsidRPr="00E15737" w:rsidRDefault="007A215B" w:rsidP="00DD5FB9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Вперше в юридичній науці в</w:t>
      </w:r>
      <w:r w:rsid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становлено за такими критеріями конституційне право звертатися до міжнародних судових установ та міжнародних організацій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яким</w:t>
      </w:r>
      <w:r w:rsid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видом прав людини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є.</w:t>
      </w:r>
      <w:r w:rsidR="00DD5F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>Виявлено</w:t>
      </w:r>
      <w:r w:rsidR="00A24D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24DB7">
        <w:rPr>
          <w:rFonts w:ascii="Times New Roman" w:hAnsi="Times New Roman"/>
          <w:color w:val="000000" w:themeColor="text1"/>
          <w:sz w:val="28"/>
          <w:szCs w:val="28"/>
        </w:rPr>
        <w:t>співвідношення</w:t>
      </w:r>
      <w:proofErr w:type="spellEnd"/>
      <w:r w:rsidR="00A24D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24DB7">
        <w:rPr>
          <w:rFonts w:ascii="Times New Roman" w:hAnsi="Times New Roman"/>
          <w:color w:val="000000" w:themeColor="text1"/>
          <w:sz w:val="28"/>
          <w:szCs w:val="28"/>
        </w:rPr>
        <w:t>між</w:t>
      </w:r>
      <w:proofErr w:type="spellEnd"/>
      <w:r w:rsidR="00A24D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F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цим </w:t>
      </w:r>
      <w:r w:rsid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правом та іншими правами і свободами людини і громадянина. Обґрунтовано, що </w:t>
      </w:r>
      <w:r w:rsidR="00DD5FB9">
        <w:rPr>
          <w:rFonts w:ascii="Times New Roman" w:hAnsi="Times New Roman"/>
          <w:color w:val="000000" w:themeColor="text1"/>
          <w:sz w:val="28"/>
          <w:szCs w:val="28"/>
          <w:lang w:val="uk-UA"/>
        </w:rPr>
        <w:t>воно</w:t>
      </w:r>
      <w:r w:rsid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є самостійним суб’єктивним правом людини і гарантією здійснення інших суб’єктивних юридичних прав.</w:t>
      </w:r>
    </w:p>
    <w:p w:rsidR="00A24DB7" w:rsidRPr="00A24DB7" w:rsidRDefault="00A24DB7" w:rsidP="00BF37E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A24DB7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З’ясовано</w:t>
      </w:r>
      <w:r w:rsidRPr="00A24DB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що суб’єктами конституційного </w:t>
      </w:r>
      <w:r w:rsidRPr="00A24D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права після використання всіх національних засобів юридичного захисту звертатися за захистом своїх прав і свобод </w:t>
      </w:r>
      <w:r w:rsidRP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відповідних міжнародних судових установ чи до відповідних органів міжнародних організацій </w:t>
      </w:r>
      <w:r w:rsidRPr="00A24D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є:</w:t>
      </w:r>
      <w:r w:rsidRPr="00A24DB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>1) особа; 2) група осіб; 3) близькі родичі особи/осіб.</w:t>
      </w:r>
    </w:p>
    <w:p w:rsidR="00A24DB7" w:rsidRPr="00BF37E9" w:rsidRDefault="00A24DB7" w:rsidP="00BF37E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Сформульовано авторське визначення поняття «жертва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порушення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прав людини»</w:t>
      </w:r>
      <w:r w:rsidR="00BF37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eastAsia="uk-UA"/>
        </w:rPr>
        <w:t xml:space="preserve">. </w:t>
      </w:r>
      <w:r w:rsidRPr="00BF37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Встановлено, що права звернення до Європейського суду з прав людини не мають організації, наділені публічно-владними повноваженнями, в тому числі й органи місцевого самоврядування. Визначено </w:t>
      </w:r>
      <w:proofErr w:type="spellStart"/>
      <w:r w:rsidRPr="00BF37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суб</w:t>
      </w:r>
      <w:proofErr w:type="spellEnd"/>
      <w:r w:rsidRPr="00BF37E9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’</w:t>
      </w:r>
      <w:proofErr w:type="spellStart"/>
      <w:r w:rsidRPr="00BF37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єкт</w:t>
      </w:r>
      <w:proofErr w:type="spellEnd"/>
      <w:r w:rsidRPr="00BF37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що має право </w:t>
      </w:r>
      <w:r w:rsidRPr="00BF37E9">
        <w:rPr>
          <w:rFonts w:ascii="Times New Roman" w:hAnsi="Times New Roman"/>
          <w:color w:val="000000" w:themeColor="text1"/>
          <w:sz w:val="28"/>
          <w:szCs w:val="28"/>
          <w:lang w:val="uk-UA"/>
        </w:rPr>
        <w:t>звертатися</w:t>
      </w:r>
      <w:r w:rsidRPr="00BF37E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до Європейського суду з прав людини у разі порушення прав юридичної особи – акціонерного товариства: це акціонерне товариство як юридична особа в цілому, а не окремі акціонери, навіть якщо вони володіють контрольним пакетом акцій. Мажоритарні акціонери мають право звертатися до Європейського суду з прав людини, якщо у акціонерного товариства немає можливості звернутися до Європейського суду з прав людини або за допомогою власних органів управління, або за допомогою осіб, що здійснюють його ліквідацію.</w:t>
      </w:r>
    </w:p>
    <w:p w:rsidR="004B178A" w:rsidRPr="006548DA" w:rsidRDefault="00A24DB7" w:rsidP="006548DA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Зроблено висновок про відсутність у міжнародних актах обмежувальних умов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фізичної особи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правом звертатися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 відповідних міжнародних судових установ чи до відповідних органів міжнародних організацій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Конституція України закріплює за кожним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звертатися за захистом своїх прав і свобод до відповідних міжнародних судових установ чи до відповідних органів міжнародних організацій, членом або учасником яких є Україна, після використання всіх національних засобів юридичного захисту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, тим не менш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законодавстві України є така обмежувальна вимога, як дієздатність. </w:t>
      </w:r>
    </w:p>
    <w:p w:rsidR="004B178A" w:rsidRPr="006548DA" w:rsidRDefault="004B178A" w:rsidP="006548DA">
      <w:pPr>
        <w:pStyle w:val="a4"/>
        <w:tabs>
          <w:tab w:val="left" w:pos="31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548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 Механізм конституційно-правового забезпечення права звертатися до міжнародних судових установ та міжнародних організацій</w:t>
      </w:r>
    </w:p>
    <w:p w:rsidR="000A2D96" w:rsidRDefault="006548DA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A2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изначається та характеризується наявний конституційно-правовий механізм забезпечення права кожного звертатися до міжнародних судових установ та міжнародних організацій, а також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вперше в юридичній науці </w:t>
      </w:r>
      <w:r w:rsidR="000A2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досліджується його трансформація під впливом перебудови контрольного механізму, створеного Конвенцією про захист прав і основних свобод людини.</w:t>
      </w:r>
    </w:p>
    <w:p w:rsidR="00A24DB7" w:rsidRDefault="00A24DB7" w:rsidP="006548DA">
      <w:pPr>
        <w:pStyle w:val="2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Визначено поняття конституційно-правового механізму забезпечення права кожного звертатися до відповідних міжнародних судових установ чи до відповідних органів міжнародних організацій.</w:t>
      </w:r>
      <w:r w:rsidR="006548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Акцентовано увагу на тому, що основні напрями дії цього механізму втілюються в формах забезпечення цього конституційного права. Зазначено, що такими формами є: забезпечення реалізації права звертатися за захистом свої прав і свобод до міжнародних судових установ та міжнародних організацій, забезпечення охорони та забезпечення захисту цього права. </w:t>
      </w:r>
    </w:p>
    <w:p w:rsidR="00A24DB7" w:rsidRDefault="00A24DB7" w:rsidP="00BC3CC2">
      <w:pPr>
        <w:pStyle w:val="2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Доведено, що на трансформацію конституційно-правового механізму забезпечення права звертатися до міжнародних судових установ та міжнародних організацій здійснює вплив перебудова контрольного механізму, створеного Конвенцією про захист прав і основних свобод людини.</w:t>
      </w:r>
    </w:p>
    <w:p w:rsidR="00A24DB7" w:rsidRDefault="00A24DB7" w:rsidP="00BC3CC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Визначено зміст принципів обґрунтованості судового рішення та «</w:t>
      </w:r>
      <w:r>
        <w:rPr>
          <w:rStyle w:val="s6b621b36"/>
          <w:iCs/>
          <w:color w:val="000000" w:themeColor="text1"/>
          <w:sz w:val="28"/>
          <w:szCs w:val="28"/>
          <w:lang w:val="en-US"/>
        </w:rPr>
        <w:t>de</w:t>
      </w:r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Style w:val="s6b621b36"/>
          <w:iCs/>
          <w:color w:val="000000" w:themeColor="text1"/>
          <w:sz w:val="28"/>
          <w:szCs w:val="28"/>
          <w:lang w:val="en-US"/>
        </w:rPr>
        <w:t>minimis</w:t>
      </w:r>
      <w:proofErr w:type="spellEnd"/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s6b621b36"/>
          <w:iCs/>
          <w:color w:val="000000" w:themeColor="text1"/>
          <w:sz w:val="28"/>
          <w:szCs w:val="28"/>
          <w:lang w:val="en-US"/>
        </w:rPr>
        <w:t>non</w:t>
      </w:r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Style w:val="s6b621b36"/>
          <w:iCs/>
          <w:color w:val="000000" w:themeColor="text1"/>
          <w:sz w:val="28"/>
          <w:szCs w:val="28"/>
          <w:lang w:val="en-US"/>
        </w:rPr>
        <w:t>curat</w:t>
      </w:r>
      <w:proofErr w:type="spellEnd"/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s6b621b36"/>
          <w:iCs/>
          <w:color w:val="000000" w:themeColor="text1"/>
          <w:sz w:val="28"/>
          <w:szCs w:val="28"/>
          <w:lang w:val="en-US"/>
        </w:rPr>
        <w:t>praetor</w:t>
      </w:r>
      <w:r>
        <w:rPr>
          <w:rStyle w:val="s6b621b36"/>
          <w:iCs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6548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вперше в юридичній науці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обґрунтовано концепцію принципу правової визначеності та потребу імплементації принципу «</w:t>
      </w:r>
      <w:r>
        <w:rPr>
          <w:rStyle w:val="s6b621b36"/>
          <w:iCs/>
          <w:color w:val="000000" w:themeColor="text1"/>
          <w:sz w:val="28"/>
          <w:szCs w:val="28"/>
          <w:lang w:val="en-US"/>
        </w:rPr>
        <w:t>de</w:t>
      </w:r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Style w:val="s6b621b36"/>
          <w:iCs/>
          <w:color w:val="000000" w:themeColor="text1"/>
          <w:sz w:val="28"/>
          <w:szCs w:val="28"/>
          <w:lang w:val="en-US"/>
        </w:rPr>
        <w:t>minimis</w:t>
      </w:r>
      <w:proofErr w:type="spellEnd"/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s6b621b36"/>
          <w:iCs/>
          <w:color w:val="000000" w:themeColor="text1"/>
          <w:sz w:val="28"/>
          <w:szCs w:val="28"/>
          <w:lang w:val="en-US"/>
        </w:rPr>
        <w:lastRenderedPageBreak/>
        <w:t>non</w:t>
      </w:r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Style w:val="s6b621b36"/>
          <w:iCs/>
          <w:color w:val="000000" w:themeColor="text1"/>
          <w:sz w:val="28"/>
          <w:szCs w:val="28"/>
          <w:lang w:val="en-US"/>
        </w:rPr>
        <w:t>curat</w:t>
      </w:r>
      <w:proofErr w:type="spellEnd"/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s6b621b36"/>
          <w:iCs/>
          <w:color w:val="000000" w:themeColor="text1"/>
          <w:sz w:val="28"/>
          <w:szCs w:val="28"/>
          <w:lang w:val="en-US"/>
        </w:rPr>
        <w:t>praetor</w:t>
      </w:r>
      <w:r>
        <w:rPr>
          <w:rStyle w:val="s6b621b36"/>
          <w:iCs/>
          <w:color w:val="000000" w:themeColor="text1"/>
          <w:sz w:val="28"/>
          <w:szCs w:val="28"/>
          <w:lang w:val="uk-UA"/>
        </w:rPr>
        <w:t xml:space="preserve">» до правової системи України, а також їх важливу роль у процесі конституційно-правового регулювання права кожного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звертатися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міжнародних судових установ та міжнародних організацій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A24DB7" w:rsidRDefault="006548DA" w:rsidP="00BC3C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Вперше в юридичній науці в</w:t>
      </w:r>
      <w:r w:rsid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иділено критерії дотримання зобов’язання суду обґрунтовувати свої рішення: 1) суд прийняв доказ сторони (сторін), що має такі ознаки: є конкретним; є доцільним; є доречним; у разі відмови суду приймати доказ, запропонований стороною (сторонами), в рішенні суду наведено деталізовані та переконливі підстави такої відмови; 2) спосіб, у який приймалися докази, є справедливим; 3) спосіб, у який були оцінені докази, є справедливим; 4) наслідки оцінки доказів і застосування правових норм відповідають міжнародним договорам; 5) процедура прийняття процесуального рішення є справедливою. </w:t>
      </w:r>
    </w:p>
    <w:p w:rsidR="00B11229" w:rsidRPr="002D7169" w:rsidRDefault="006548DA" w:rsidP="002D716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Вперше в юридичній науці в</w:t>
      </w:r>
      <w:r w:rsid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>иділено критерії встановлення наявності або відсутності суттєвої шкоди, якої зазнав заявник, як умови прийнятності індивідуальної заяви міжнародною судовою установою чи відповідним органом міжнародної організації: фінансова шкода для заявника; суспільний інтерес</w:t>
      </w:r>
      <w:r w:rsidR="00A24DB7">
        <w:rPr>
          <w:rStyle w:val="sb8d990e2"/>
          <w:color w:val="000000" w:themeColor="text1"/>
          <w:sz w:val="28"/>
          <w:szCs w:val="28"/>
          <w:lang w:val="uk-UA"/>
        </w:rPr>
        <w:t xml:space="preserve"> та характер права, про порушення якого стверджується заявником; </w:t>
      </w:r>
      <w:r w:rsidR="00A24DB7">
        <w:rPr>
          <w:rStyle w:val="sb8d990e2"/>
          <w:iCs/>
          <w:color w:val="000000" w:themeColor="text1"/>
          <w:sz w:val="28"/>
          <w:szCs w:val="28"/>
          <w:lang w:val="uk-UA"/>
        </w:rPr>
        <w:t xml:space="preserve">суб'єктивне ставлення з боку заявника до питання порушення його права та/чи основної свободи та питань, які є об'єктивно значущими для нього в тій чи іншій справі; </w:t>
      </w:r>
      <w:r w:rsidR="00A24DB7">
        <w:rPr>
          <w:rStyle w:val="sb8d990e2"/>
          <w:color w:val="000000" w:themeColor="text1"/>
          <w:sz w:val="28"/>
          <w:szCs w:val="28"/>
          <w:lang w:val="uk-UA"/>
        </w:rPr>
        <w:t xml:space="preserve">серйозність наслідків </w:t>
      </w:r>
      <w:proofErr w:type="spellStart"/>
      <w:r w:rsidR="00A24DB7">
        <w:rPr>
          <w:rStyle w:val="sb8d990e2"/>
          <w:color w:val="000000" w:themeColor="text1"/>
          <w:sz w:val="28"/>
          <w:szCs w:val="28"/>
          <w:lang w:val="uk-UA"/>
        </w:rPr>
        <w:t>стверджуваного</w:t>
      </w:r>
      <w:proofErr w:type="spellEnd"/>
      <w:r w:rsidR="00A24DB7">
        <w:rPr>
          <w:rStyle w:val="sb8d990e2"/>
          <w:color w:val="000000" w:themeColor="text1"/>
          <w:sz w:val="28"/>
          <w:szCs w:val="28"/>
          <w:lang w:val="uk-UA"/>
        </w:rPr>
        <w:t xml:space="preserve"> порушення для здійснення права та/або можливі наслідки такого порушення для особистої ситуації заявника</w:t>
      </w:r>
      <w:r w:rsidR="00A24DB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B178A" w:rsidRPr="006548DA" w:rsidRDefault="004B178A" w:rsidP="00BC3CC2">
      <w:pPr>
        <w:pStyle w:val="a4"/>
        <w:tabs>
          <w:tab w:val="left" w:pos="318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548D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 Гарантії конституційного права звертатися до міжнародних судових установ та міжнародних організацій</w:t>
      </w:r>
    </w:p>
    <w:p w:rsidR="000A2D96" w:rsidRDefault="006548DA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A2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изначається</w:t>
      </w:r>
      <w:r w:rsidR="000A2D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A2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роль і значення конституційно-правових гарантій права кожного </w:t>
      </w:r>
      <w:r w:rsidR="000A2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організацій, членом або учасником яких є держава</w:t>
      </w:r>
      <w:r w:rsidR="000A2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досліджується їх система, обґрунтовуються шляхи вдосконалення.</w:t>
      </w:r>
    </w:p>
    <w:p w:rsidR="002D7169" w:rsidRDefault="002D7169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4DB7" w:rsidRDefault="00A24DB7" w:rsidP="006548DA">
      <w:pPr>
        <w:pStyle w:val="21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Сформульовано авторське визначення поняття гарантій права кожного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звертатися за захистом своїх прав і свобод до міжнародних судових установ чи до міжнародних організацій, членом або учасником яких є держава</w:t>
      </w:r>
      <w:r w:rsidR="006548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змістом</w:t>
      </w:r>
      <w:r w:rsidR="006548DA">
        <w:rPr>
          <w:rFonts w:ascii="Times New Roman" w:hAnsi="Times New Roman"/>
          <w:bCs/>
          <w:snapToGrid w:val="0"/>
          <w:color w:val="000000" w:themeColor="text1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формою</w:t>
      </w:r>
      <w:r w:rsidR="006548DA">
        <w:rPr>
          <w:rFonts w:ascii="Times New Roman" w:hAnsi="Times New Roman"/>
          <w:bCs/>
          <w:snapToGrid w:val="0"/>
          <w:color w:val="000000" w:themeColor="text1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суттю</w:t>
      </w:r>
      <w:r w:rsidR="006548DA">
        <w:rPr>
          <w:rFonts w:ascii="Times New Roman" w:hAnsi="Times New Roman"/>
          <w:bCs/>
          <w:snapToGrid w:val="0"/>
          <w:color w:val="000000" w:themeColor="text1"/>
          <w:sz w:val="28"/>
          <w:szCs w:val="28"/>
          <w:lang w:val="uk-UA"/>
        </w:rPr>
        <w:t>).</w:t>
      </w:r>
      <w:r w:rsidR="006548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Визначено </w:t>
      </w:r>
      <w:r w:rsid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роль та</w:t>
      </w:r>
      <w:r w:rsid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значення.</w:t>
      </w:r>
    </w:p>
    <w:p w:rsidR="00A24DB7" w:rsidRDefault="00A24DB7" w:rsidP="00BC3CC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Встановлено, що в Україні не створено відповідно до Паризьких принципів такі види національних установ, які займаються заохоченням і захистом прав людини: комісії з прав людини, анти-дискримінаційні омбудсмени (комісії). Доведено, що ряд інститутів (центрів) з прав людини, консультативних комісій, що створено в Україні, не відповідають Паризьким принципам. </w:t>
      </w:r>
    </w:p>
    <w:p w:rsidR="00A24DB7" w:rsidRDefault="00A24DB7" w:rsidP="00BC3CC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Удосконалено наявну в науці конституційного права концепцію щодо розуміння організаційно-правових гарантій прав людини і громадянина, а саме: класифікаційний критерій для поділу на групи – можливість здійснення будь-якого виду державного примусу в процесі юрисдикційної діяльності;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органи державної виконавчої служби,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приватні виконавці є елементами системи організаційно-правових гарантій прав людини і громадянина; за класифікаційним критерієм – забезпечення прав людини і основних свобод є основною функцією органу-гаранта чи однією з інших функцій – обґрунтовано, що національні установи, які займаються заохоченням і захистом прав людини належать групи органів-гарантів спеціальної компетенції, створених спеціально для забезпечення гарантій прав людини і основних свобод.</w:t>
      </w:r>
    </w:p>
    <w:p w:rsidR="00A24DB7" w:rsidRDefault="00A24DB7" w:rsidP="00BC3CC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Запропоновано в групі органів-гарантів спеціальної компетенції, які створені спеціально для забезпечення гарантій прав людини та основоположних свобод, виокремлювати підгрупу національних установ, які займаються заохоченням і захистом прав людини (комісії з прав людини, уповноважені (омбудсмени) з прав людини, анти-дискримінаційні омбудсмени (комісії), інститути (центри) з прав людини, консультативні комісії з прав людини, компл</w:t>
      </w:r>
      <w:r w:rsidR="002D7169">
        <w:rPr>
          <w:rFonts w:ascii="Times New Roman" w:hAnsi="Times New Roman"/>
          <w:color w:val="000000" w:themeColor="text1"/>
          <w:sz w:val="28"/>
          <w:szCs w:val="28"/>
          <w:lang w:val="uk-UA"/>
        </w:rPr>
        <w:t>ексні інститути з прав людини).</w:t>
      </w:r>
    </w:p>
    <w:p w:rsidR="00A24DB7" w:rsidRDefault="00A24DB7" w:rsidP="00BC3CC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Організаційно-правові гарантії прав людини і громадянина класифіковано за критерієм можливості застосування будь-якого виду державного примусу в процесі вирішення правового спору на такі групи: 1) органи-гаранти, які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здійснюють державно-юридичний захист прав людини і основних свобод; 2) органи-гаранти, які здійснюють державно-юридичну охорону прав людини і основних свобод. </w:t>
      </w:r>
    </w:p>
    <w:p w:rsidR="00A24DB7" w:rsidRDefault="00A24DB7" w:rsidP="00BC3CC2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Встановлено, що примусове виконання рішень міжнародних судових установ в Україні є неналежним, а наявна в Україні модель виконання таких рішень не розв’язує цю проблему, адже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приватний виконавець позбавлений права здійснювати примусове виконання рішень Європейського суду з прав людини, а також рішень, за якими боржником є держава.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Аргументовано, що належне виконання рішень міжнародних судових установ в Україні можливе за французькою моделлю виконавчого провадження.</w:t>
      </w:r>
    </w:p>
    <w:p w:rsidR="00BC3CC2" w:rsidRDefault="00A24DB7" w:rsidP="00AD2251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результатами дослідження розроблено пропозиції щодо внесення відповідних змін і доповнень до законів України, а саме: ч. 5 ст. 55, ч. 2 ст. 129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України; ст. ст. 2, 5, 58, 59, 60 Закону України «Про виконавче провадження».</w:t>
      </w:r>
    </w:p>
    <w:p w:rsidR="00C030F7" w:rsidRPr="00C030F7" w:rsidRDefault="00C030F7" w:rsidP="00C030F7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uk-UA"/>
        </w:rPr>
      </w:pPr>
      <w:r w:rsidRPr="0022510E">
        <w:rPr>
          <w:rFonts w:ascii="Times New Roman" w:hAnsi="Times New Roman"/>
          <w:b/>
          <w:spacing w:val="-4"/>
          <w:sz w:val="28"/>
          <w:szCs w:val="28"/>
          <w:lang w:val="uk-UA"/>
        </w:rPr>
        <w:t>Порівняно з кращими світовими та вітчизняними аналогами</w:t>
      </w:r>
      <w:r w:rsidRPr="0022510E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22510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 представленій роботі здійснено вперше комплексне наукове дослідження </w:t>
      </w:r>
      <w:r w:rsidRPr="0022510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права кожного </w:t>
      </w:r>
      <w:r w:rsidRPr="0022510E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звертатися за захистом своїх прав і свобод до комплексу міжнародних судових установ чи до відповідних органів міжнародних організацій</w:t>
      </w:r>
      <w:r w:rsidRPr="0022510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членом або учасником яких є держава, а не лише до Європейського суду з прав людини чи органів ООН з додержання прав людини. Вперше в юридичній науці комплексно досліджено міжнародно-правовий механізм доступу до Європейського суду з прав людини, </w:t>
      </w:r>
      <w:r w:rsidRPr="0022510E">
        <w:rPr>
          <w:rFonts w:ascii="Times New Roman" w:hAnsi="Times New Roman" w:cs="Times New Roman"/>
          <w:spacing w:val="-4"/>
          <w:sz w:val="28"/>
          <w:szCs w:val="28"/>
        </w:rPr>
        <w:t xml:space="preserve">одним з </w:t>
      </w:r>
      <w:proofErr w:type="spellStart"/>
      <w:r w:rsidRPr="0022510E">
        <w:rPr>
          <w:rFonts w:ascii="Times New Roman" w:hAnsi="Times New Roman" w:cs="Times New Roman"/>
          <w:spacing w:val="-4"/>
          <w:sz w:val="28"/>
          <w:szCs w:val="28"/>
        </w:rPr>
        <w:t>елементів</w:t>
      </w:r>
      <w:proofErr w:type="spellEnd"/>
      <w:r w:rsidRPr="002251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2510E">
        <w:rPr>
          <w:rFonts w:ascii="Times New Roman" w:hAnsi="Times New Roman" w:cs="Times New Roman"/>
          <w:spacing w:val="-4"/>
          <w:sz w:val="28"/>
          <w:szCs w:val="28"/>
        </w:rPr>
        <w:t>якого</w:t>
      </w:r>
      <w:proofErr w:type="spellEnd"/>
      <w:r w:rsidRPr="0022510E">
        <w:rPr>
          <w:rFonts w:ascii="Times New Roman" w:hAnsi="Times New Roman" w:cs="Times New Roman"/>
          <w:spacing w:val="-4"/>
          <w:sz w:val="28"/>
          <w:szCs w:val="28"/>
        </w:rPr>
        <w:t xml:space="preserve"> є </w:t>
      </w:r>
      <w:proofErr w:type="spellStart"/>
      <w:r w:rsidRPr="0022510E">
        <w:rPr>
          <w:rFonts w:ascii="Times New Roman" w:hAnsi="Times New Roman" w:cs="Times New Roman"/>
          <w:spacing w:val="-4"/>
          <w:sz w:val="28"/>
          <w:szCs w:val="28"/>
        </w:rPr>
        <w:t>умови</w:t>
      </w:r>
      <w:proofErr w:type="spellEnd"/>
      <w:r w:rsidRPr="002251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2510E">
        <w:rPr>
          <w:rFonts w:ascii="Times New Roman" w:hAnsi="Times New Roman" w:cs="Times New Roman"/>
          <w:spacing w:val="-4"/>
          <w:sz w:val="28"/>
          <w:szCs w:val="28"/>
        </w:rPr>
        <w:t>прийнятності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зазнав змін відповідно до Протоколу №14, Протоколу №15, Протоколу №16 до Конвенції про захист прав</w:t>
      </w:r>
      <w:r w:rsidR="0022510E">
        <w:rPr>
          <w:rFonts w:ascii="Times New Roman" w:hAnsi="Times New Roman" w:cs="Times New Roman"/>
          <w:sz w:val="28"/>
          <w:szCs w:val="28"/>
          <w:lang w:val="uk-UA"/>
        </w:rPr>
        <w:t xml:space="preserve"> людини і основоположних свобод, а також вплив перебудови цього механізму на </w:t>
      </w:r>
      <w:r w:rsid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трансформацію конституційно-правового механізму забезпечення права </w:t>
      </w:r>
      <w:r w:rsidR="002D7169" w:rsidRPr="0022510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кожного </w:t>
      </w:r>
      <w:r w:rsidR="002D7169" w:rsidRPr="0022510E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звертатися за захистом своїх прав і свобод до комплексу міжнародних судових установ чи до відповідних органів міжнародних організацій</w:t>
      </w:r>
      <w:r w:rsidR="002D7169" w:rsidRPr="0022510E">
        <w:rPr>
          <w:rFonts w:ascii="Times New Roman" w:hAnsi="Times New Roman" w:cs="Times New Roman"/>
          <w:spacing w:val="-4"/>
          <w:sz w:val="28"/>
          <w:szCs w:val="28"/>
          <w:lang w:val="uk-UA"/>
        </w:rPr>
        <w:t>, членом або учасником яких є держава</w:t>
      </w:r>
      <w:r w:rsidR="002D716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22510E" w:rsidRDefault="00894769" w:rsidP="00C030F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53D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Практичне значення одержаних результатів </w:t>
      </w:r>
      <w:r w:rsidRPr="00553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полягає в тому, що сформульовані в </w:t>
      </w:r>
      <w:r w:rsidR="00AD225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дослідженні</w:t>
      </w:r>
      <w:r w:rsidRPr="00553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положення, висновки та пропозиці</w:t>
      </w:r>
      <w:r w:rsidR="00AD22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можуть бути </w:t>
      </w:r>
      <w:r w:rsidR="00AD22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використані у </w:t>
      </w:r>
      <w:r w:rsidRPr="002251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науково-дослідній роботі – для подальшого аналізу конституційно-правового статусу людини і громадянина, конституційно-правового механізму забезпечення права кожного </w:t>
      </w:r>
      <w:r w:rsidRPr="0022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звертатися за захистом своїх прав і свобод до відповідних міжнародних судових установ чи до відповідних органів міжнародних організацій</w:t>
      </w:r>
      <w:r w:rsidRPr="0022510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AD2251" w:rsidRPr="002251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251" w:rsidRP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="00AD2251" w:rsidRP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>нормопроектній</w:t>
      </w:r>
      <w:proofErr w:type="spellEnd"/>
      <w:r w:rsidR="00AD2251" w:rsidRP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правотворчій діяльності – для розвитку законодавства України з питань забезпечення конституційного права кожного </w:t>
      </w:r>
      <w:r w:rsidR="00AD2251" w:rsidRPr="002251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звертатися за захистом своїх прав і свобод до відповідних міжнародних судових установ чи до відповідних органів міжнародних організацій, членом або учасником яких є Україна; </w:t>
      </w:r>
      <w:r w:rsidR="00AD2251" w:rsidRP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правозастосуванні – для вдосконалення практики реалізації норм законодавства, яке регулює </w:t>
      </w:r>
      <w:r w:rsidR="00611D9D" w:rsidRP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вище зазначене </w:t>
      </w:r>
      <w:r w:rsidR="00AD2251" w:rsidRP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право</w:t>
      </w:r>
      <w:r w:rsidR="00AD2251" w:rsidRPr="002251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  <w:r w:rsidRPr="0022510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навчальному процесі</w:t>
      </w:r>
      <w:r w:rsidRPr="00553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22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AD225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підготовці програм, робочих програм, підручників </w:t>
      </w:r>
      <w:r w:rsidR="00B112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тощо </w:t>
      </w:r>
      <w:r w:rsidR="00AD2251">
        <w:rPr>
          <w:rFonts w:ascii="Times New Roman" w:hAnsi="Times New Roman"/>
          <w:color w:val="000000" w:themeColor="text1"/>
          <w:sz w:val="28"/>
          <w:szCs w:val="28"/>
          <w:lang w:val="uk-UA"/>
        </w:rPr>
        <w:t>із конституційного права України, порівняльного конституційного права, міжнародного права</w:t>
      </w:r>
      <w:r w:rsidR="002251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ін. дисциплін, при їх викладанні.</w:t>
      </w:r>
    </w:p>
    <w:p w:rsidR="00AD2251" w:rsidRPr="00AD2251" w:rsidRDefault="00611D9D" w:rsidP="00C030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30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="00894769" w:rsidRPr="00C030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бсяг впровадження роботи</w:t>
      </w:r>
      <w:r w:rsidRPr="00C030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ascii="Verdana" w:hAnsi="Verdana"/>
          <w:color w:val="000000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611D9D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формульовані в дослідженні положення, висновки та пропозиції </w:t>
      </w:r>
      <w:r w:rsidRPr="00611D9D">
        <w:rPr>
          <w:rFonts w:ascii="Times New Roman" w:hAnsi="Times New Roman"/>
          <w:sz w:val="28"/>
          <w:szCs w:val="28"/>
          <w:lang w:val="uk-UA"/>
        </w:rPr>
        <w:t xml:space="preserve">використано </w:t>
      </w:r>
      <w:r w:rsidRPr="00611D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комітетом з питань європейської інтеграції Верховної Ради України (акт впровадження від 26 серпня 2016 р. № 04-17/16-1204), </w:t>
      </w:r>
      <w:r w:rsidRPr="00611D9D">
        <w:rPr>
          <w:rFonts w:ascii="Times New Roman" w:hAnsi="Times New Roman"/>
          <w:color w:val="000000"/>
          <w:sz w:val="28"/>
          <w:szCs w:val="28"/>
          <w:lang w:val="uk-UA"/>
        </w:rPr>
        <w:t>Департаментом агропромислового розвитку Київської обласної державної адміністрації (</w:t>
      </w:r>
      <w:r w:rsidRPr="00611D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довідка </w:t>
      </w:r>
      <w:r w:rsidRPr="00611D9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10 серпня 2016 р. № 02-01.2-1/1387), </w:t>
      </w:r>
      <w:r w:rsidRPr="00611D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Вищим адміністративним судом України (акт впровадження від 26 вересня 2016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1D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р.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1D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2028</w:t>
      </w:r>
      <w:r w:rsidRPr="00611D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/2-14/16)</w:t>
      </w:r>
      <w:r w:rsidR="00C030F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D2251" w:rsidRPr="00553DB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Ужгородськи</w:t>
      </w:r>
      <w:r w:rsidR="00C030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AD2251" w:rsidRPr="00553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національни</w:t>
      </w:r>
      <w:r w:rsidR="00C030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AD2251" w:rsidRPr="00553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університе</w:t>
      </w:r>
      <w:r w:rsidR="00C030F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</w:t>
      </w:r>
      <w:r w:rsidR="00AD2251" w:rsidRPr="00553D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30F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AD2251" w:rsidRPr="00553DB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довідка про впровадження від 19 жовтня 2016 р. № 3524/01-27).</w:t>
      </w:r>
    </w:p>
    <w:p w:rsidR="00BC3CC2" w:rsidRDefault="00BC3CC2" w:rsidP="00C030F7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0F7">
        <w:rPr>
          <w:rFonts w:ascii="Times New Roman" w:hAnsi="Times New Roman" w:cs="Times New Roman"/>
          <w:b/>
          <w:sz w:val="28"/>
          <w:szCs w:val="28"/>
          <w:lang w:val="uk-UA"/>
        </w:rPr>
        <w:t>Економічний ефект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впровадження полягає в створенні передумов для зменшення числа заяв до міжнародних судових установ проти України, а відтак – зменшенні збитків, завданих Державному бюджету України внаслідок виплати відшкодування стягувачам.</w:t>
      </w:r>
    </w:p>
    <w:p w:rsidR="00894769" w:rsidRDefault="00BC3CC2" w:rsidP="00C030F7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C030F7">
        <w:rPr>
          <w:rFonts w:ascii="Times New Roman" w:hAnsi="Times New Roman"/>
          <w:b/>
          <w:spacing w:val="-4"/>
          <w:sz w:val="28"/>
          <w:szCs w:val="28"/>
        </w:rPr>
        <w:t>Кількість</w:t>
      </w:r>
      <w:proofErr w:type="spellEnd"/>
      <w:r w:rsidRPr="00C030F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spellStart"/>
      <w:r w:rsidRPr="00C030F7">
        <w:rPr>
          <w:rFonts w:ascii="Times New Roman" w:hAnsi="Times New Roman"/>
          <w:b/>
          <w:spacing w:val="-4"/>
          <w:sz w:val="28"/>
          <w:szCs w:val="28"/>
        </w:rPr>
        <w:t>публ</w:t>
      </w:r>
      <w:bookmarkStart w:id="0" w:name="_GoBack"/>
      <w:bookmarkEnd w:id="0"/>
      <w:r w:rsidRPr="00C030F7">
        <w:rPr>
          <w:rFonts w:ascii="Times New Roman" w:hAnsi="Times New Roman"/>
          <w:b/>
          <w:spacing w:val="-4"/>
          <w:sz w:val="28"/>
          <w:szCs w:val="28"/>
        </w:rPr>
        <w:t>ікацій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: 54, 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т.ч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. 1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монографія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4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навчальні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підручника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(2 – з грифом МОН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), 35 статей (18 – у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зарубіжних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виданнях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бази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даних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Google</w:t>
      </w:r>
      <w:r w:rsidRPr="00BC3CC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Scholar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посилань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117, h-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індекс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роботою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) = 5. За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даною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тематикою автором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захищено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докторську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дисертацію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E15737" w:rsidRPr="00E15737" w:rsidRDefault="00E15737" w:rsidP="00C030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E15737">
        <w:rPr>
          <w:rFonts w:ascii="Times New Roman" w:hAnsi="Times New Roman"/>
          <w:b/>
          <w:spacing w:val="-4"/>
          <w:sz w:val="28"/>
          <w:szCs w:val="28"/>
        </w:rPr>
        <w:t>Автор</w:t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</w:rPr>
        <w:tab/>
      </w:r>
      <w:r w:rsidRPr="00E15737">
        <w:rPr>
          <w:rFonts w:ascii="Times New Roman" w:hAnsi="Times New Roman"/>
          <w:b/>
          <w:spacing w:val="-4"/>
          <w:sz w:val="28"/>
          <w:szCs w:val="28"/>
          <w:lang w:val="uk-UA"/>
        </w:rPr>
        <w:t>Л.М. </w:t>
      </w:r>
      <w:proofErr w:type="spellStart"/>
      <w:r w:rsidRPr="00E15737">
        <w:rPr>
          <w:rFonts w:ascii="Times New Roman" w:hAnsi="Times New Roman"/>
          <w:b/>
          <w:spacing w:val="-4"/>
          <w:sz w:val="28"/>
          <w:szCs w:val="28"/>
          <w:lang w:val="uk-UA"/>
        </w:rPr>
        <w:t>Дешко</w:t>
      </w:r>
      <w:proofErr w:type="spellEnd"/>
    </w:p>
    <w:sectPr w:rsidR="00E15737" w:rsidRPr="00E15737" w:rsidSect="004B2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E2244E2"/>
    <w:multiLevelType w:val="hybridMultilevel"/>
    <w:tmpl w:val="CD9EA6A4"/>
    <w:lvl w:ilvl="0" w:tplc="66707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A51E71"/>
    <w:multiLevelType w:val="hybridMultilevel"/>
    <w:tmpl w:val="3424D20A"/>
    <w:lvl w:ilvl="0" w:tplc="FB962D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0662"/>
    <w:multiLevelType w:val="hybridMultilevel"/>
    <w:tmpl w:val="F3A00BE0"/>
    <w:lvl w:ilvl="0" w:tplc="E3C0B9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4"/>
        <w:lvlJc w:val="left"/>
        <w:pPr>
          <w:ind w:left="921" w:hanging="354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B"/>
    <w:rsid w:val="00095A46"/>
    <w:rsid w:val="000A2D96"/>
    <w:rsid w:val="0011015A"/>
    <w:rsid w:val="001A7A9B"/>
    <w:rsid w:val="001B411B"/>
    <w:rsid w:val="001B767D"/>
    <w:rsid w:val="001D6CAC"/>
    <w:rsid w:val="001E7728"/>
    <w:rsid w:val="0022510E"/>
    <w:rsid w:val="002A37C6"/>
    <w:rsid w:val="002B7AAC"/>
    <w:rsid w:val="002D4100"/>
    <w:rsid w:val="002D7169"/>
    <w:rsid w:val="003F330C"/>
    <w:rsid w:val="004B178A"/>
    <w:rsid w:val="004B2452"/>
    <w:rsid w:val="00550A8E"/>
    <w:rsid w:val="00611D9D"/>
    <w:rsid w:val="006548DA"/>
    <w:rsid w:val="0070606F"/>
    <w:rsid w:val="007164DB"/>
    <w:rsid w:val="0076383A"/>
    <w:rsid w:val="0077215C"/>
    <w:rsid w:val="007A215B"/>
    <w:rsid w:val="007D5D44"/>
    <w:rsid w:val="00826C38"/>
    <w:rsid w:val="00847571"/>
    <w:rsid w:val="008867E2"/>
    <w:rsid w:val="00891E41"/>
    <w:rsid w:val="00894769"/>
    <w:rsid w:val="00943619"/>
    <w:rsid w:val="009940A1"/>
    <w:rsid w:val="009A6293"/>
    <w:rsid w:val="00A24DB7"/>
    <w:rsid w:val="00A609ED"/>
    <w:rsid w:val="00AC2372"/>
    <w:rsid w:val="00AD2251"/>
    <w:rsid w:val="00AE39A7"/>
    <w:rsid w:val="00B11229"/>
    <w:rsid w:val="00BB7BD7"/>
    <w:rsid w:val="00BC3CC2"/>
    <w:rsid w:val="00BC42AF"/>
    <w:rsid w:val="00BF37E9"/>
    <w:rsid w:val="00C030F7"/>
    <w:rsid w:val="00C265D4"/>
    <w:rsid w:val="00C47B87"/>
    <w:rsid w:val="00CC6108"/>
    <w:rsid w:val="00D538AE"/>
    <w:rsid w:val="00DD5FB9"/>
    <w:rsid w:val="00E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1475-F145-4F6F-9800-ED38AC3D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E41"/>
    <w:pPr>
      <w:ind w:left="720"/>
      <w:contextualSpacing/>
    </w:pPr>
  </w:style>
  <w:style w:type="paragraph" w:customStyle="1" w:styleId="rtejustify">
    <w:name w:val="rtejustify"/>
    <w:basedOn w:val="a"/>
    <w:rsid w:val="0089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4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47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1A7A9B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10"/>
    <w:rsid w:val="001A7A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1A7A9B"/>
    <w:rPr>
      <w:rFonts w:ascii="Times New Roman" w:hAnsi="Times New Roman" w:cs="Times New Roman" w:hint="default"/>
    </w:rPr>
  </w:style>
  <w:style w:type="character" w:customStyle="1" w:styleId="s6b621b36">
    <w:name w:val="s6b621b36"/>
    <w:basedOn w:val="a0"/>
    <w:rsid w:val="004B178A"/>
    <w:rPr>
      <w:rFonts w:ascii="Times New Roman" w:hAnsi="Times New Roman" w:cs="Times New Roman" w:hint="default"/>
    </w:rPr>
  </w:style>
  <w:style w:type="character" w:customStyle="1" w:styleId="sb8d990e2">
    <w:name w:val="sb8d990e2"/>
    <w:basedOn w:val="a0"/>
    <w:rsid w:val="004B178A"/>
    <w:rPr>
      <w:rFonts w:ascii="Times New Roman" w:hAnsi="Times New Roman" w:cs="Times New Roman" w:hint="default"/>
    </w:rPr>
  </w:style>
  <w:style w:type="paragraph" w:styleId="2">
    <w:name w:val="Body Text Indent 2"/>
    <w:basedOn w:val="a"/>
    <w:link w:val="20"/>
    <w:uiPriority w:val="99"/>
    <w:semiHidden/>
    <w:unhideWhenUsed/>
    <w:rsid w:val="00A24DB7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B7"/>
    <w:rPr>
      <w:rFonts w:eastAsia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24DB7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4DB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D5D7-2FD4-4318-89E5-849DFF39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ииии Иии</dc:creator>
  <cp:keywords/>
  <dc:description/>
  <cp:lastModifiedBy>ииии Иии</cp:lastModifiedBy>
  <cp:revision>13</cp:revision>
  <dcterms:created xsi:type="dcterms:W3CDTF">2018-02-16T16:31:00Z</dcterms:created>
  <dcterms:modified xsi:type="dcterms:W3CDTF">2018-02-25T16:35:00Z</dcterms:modified>
</cp:coreProperties>
</file>