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84608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484608">
      <w:pPr>
        <w:pStyle w:val="normal"/>
        <w:ind w:firstLine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Державний вищий навчальний заклад</w:t>
      </w:r>
    </w:p>
    <w:p w:rsidR="00484608" w:rsidRPr="00484608" w:rsidRDefault="00484608" w:rsidP="00484608">
      <w:pPr>
        <w:pStyle w:val="normal"/>
        <w:ind w:firstLine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«Національний гірничий університет»</w:t>
      </w: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608" w:rsidRPr="00484608" w:rsidRDefault="00484608" w:rsidP="00484608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caps/>
          <w:sz w:val="28"/>
          <w:szCs w:val="28"/>
        </w:rPr>
        <w:t>Комплексна система геомоніторингу промислово-видобувних територій</w:t>
      </w:r>
    </w:p>
    <w:p w:rsidR="00484608" w:rsidRDefault="00484608" w:rsidP="00484608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484608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608" w:rsidRP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1. ДЕРЕВЯГІНА Наталія Іванівна, кандидат технічних наук, доцент кафедри гідрогеології та інженерної геології Державного вищого навчального закладу «Національний гірничий університет».</w:t>
      </w:r>
    </w:p>
    <w:p w:rsidR="00484608" w:rsidRP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2. ПРИХОДЧЕНКО Дмитро Васильович, кандидат геологічних наук, доцент кафедри загальної та структурної геології Державного вищого навчального закладу «Національний гірничий університет».</w:t>
      </w:r>
    </w:p>
    <w:p w:rsidR="00484608" w:rsidRP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3. СОЦКОВ Вадим Олександрович, кандидат технічних наук, доцент кафедри підземної розробки родовищ Державного вищого навчального закладу «Національний гірничий університет».</w:t>
      </w:r>
    </w:p>
    <w:p w:rsidR="00484608" w:rsidRP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4. ТРЕГУБ Микола Володимирович, кандидат технічних наук, доцент кафедри геодезії Державного вищого навчального закладу «Національний гірничий університет».</w:t>
      </w:r>
    </w:p>
    <w:p w:rsid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608" w:rsidRPr="00484608" w:rsidRDefault="00484608" w:rsidP="00484608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Робота подається вперше.</w:t>
      </w:r>
    </w:p>
    <w:p w:rsidR="00484608" w:rsidRPr="00484608" w:rsidRDefault="00484608" w:rsidP="00484608">
      <w:pPr>
        <w:pStyle w:val="normal"/>
        <w:ind w:firstLine="4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Реферат</w:t>
      </w:r>
    </w:p>
    <w:p w:rsidR="00484608" w:rsidRPr="00484608" w:rsidRDefault="00484608" w:rsidP="00484608">
      <w:pPr>
        <w:pStyle w:val="normal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84608" w:rsidRPr="00484608" w:rsidRDefault="00484608" w:rsidP="00484608">
      <w:pPr>
        <w:pStyle w:val="normal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84608" w:rsidRPr="00484608" w:rsidRDefault="00484608" w:rsidP="00484608">
      <w:pPr>
        <w:pStyle w:val="normal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84608" w:rsidRPr="00484608" w:rsidRDefault="00484608" w:rsidP="0048460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Дніпро – 2018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Актуальність роботи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Основними джерелами енергії є природні паливно-енергетичні ресурси, такі як нафта, вугілля, газ тощо. На їх частку припадає до 90% виробленої в світі енергії, інша частина - за рахунок відновлюваних джерел. У таких умовах від швидкості і ступеня освоєння природних паливно-енергетичних ресурсів залежить динаміка і кон'юнктура розвитку світової економіки. Згідно з прогнозом Інституту енергетичних ресурсів (IER, USA), загальна структура паливно-енергетичного балансу до 2035 року не зазнає значних змін: провідна роль залишається за мінеральними ресурсами. У зв'язку з цим державна політика України має спрямовуватися на проведення комплексу заходів щодо забезпечення сталого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енергоефективного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видобутку сировини, який містить в собі і низку труднощів. Розробка вугільних пластів в Україні ведеться, в основному, в складних гірничо-геологічних умовах Західного Донбасу (Дніпропетровський регіон), на території якого залягає 25 млрд. т вугілля, що складає 21,3% від загальних ресурсів країни. Необхідність використання нових ресурсозберігаючих підходів до відпрацювання вугільних родовищ в умовах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слабометаморфізованих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порід з урахуванням зміни напружено-деформованого стану тонкошаруватого гірського масиву під час просування очисного вибою вимагає підвищення ефективності підтримання виробок для забезпечення їх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маловитратного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функціонування. 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84608">
        <w:rPr>
          <w:rFonts w:ascii="Times New Roman" w:eastAsia="Times New Roman" w:hAnsi="Times New Roman" w:cs="Times New Roman"/>
          <w:sz w:val="29"/>
          <w:szCs w:val="29"/>
        </w:rPr>
        <w:t>Розвиток нових технологій використання вугілля підвищує вимоги до своєчасної комплексної оцінки його складу і якості окремих вугленосних площ, виявленню їх регіональних особливостей. Через це набуває актуального значення встановлення генетичних особливостей вугленосних товщ, визначення закономірностей їх зміни у просторі з подальшим визначенням раціональних напрямів використання вугілля за чистими енерготехнологіями.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Комплексне освоєння родовищ також неможливе без моніторингу і прогнозування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гідрогеомеханічних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процесів на поверхні землі, що у більшості випадків залежать від просідання земної поверхні і провокують інші негативні фізико-геологічні явища, наприклад, підтоплення, просідання, активізацію зсувних процесів тощо. Дніпропетровщина – це територія, на якій поширені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льосові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грунти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, відомі своїми специфічними інженерно-геологічними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властивостями, що напряму пов'язані з процесами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зсувоутворення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. При цьому діючі нормативи для проектування і будівництва на таких ґрунтах не враховують повною мірою їх специфіку. Це зумовило необхідність обґрунтування нового підходу до оцінки стану зсувних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масивів з урахуванням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геомеханічних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і фільтраційних процесів масиву в умовах техногенного навантаження.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Система моніторингу стійкості об’єктів, а також використання земельних ресурсів має включати визначений перелік заходів і методик, які б враховували особливості промислово-видобувних територій. Необхідно забезпечити можливість проведення геодезичного моніторингу таких територій, у разі зміни системи координат або втрати вихідних пунктів і відсутності можливості використання трансформаційного поля. Це дозволить прогнозувати розвиток об’єктів у часі, розробляти комплексну технологію охорони земель та забезпечити стале землекористування прилеглих територій.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Запропонований в роботі комплексний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під час освоєння родовищ базується на врахуванні всіх рівнів гірничо-видобувної промисловості, починаючи з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геолого-розвідувальних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робіт і закінчуючи заходами після закриття підприємства, а також раціоналізацією землекористування територій, що знаходяться у безпосередній близькості.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включає в себе планування, контроль та прогноз динаміки розвитку в просторі та часі системи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“підземний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об'єкт - масив гірських порід - наземне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середовище”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. Тому урахування ресурсного потенціалу промислово-видобувних територій, технологічного забезпечення видобутку вугілля та прогнозу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гідрогеомеханічної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стійкості масивів на всіх етапах їх еволюції є актуальною науково-прикладною задачею. Запропонована методологія, що відпрацьована на територіях видобутку вугілля, може бути використана при підземній розробці родовищ будь-якого походження (генезису).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Метою роботи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є розробка комплексної системи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промислово-видобувних територій з урахуванням їх ресурсного потенціалу, технологічного забезпечення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енергоефективного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видобутку сировини та обґрунтування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гідрогеомеханічної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стійкості масивів у векторі сталого землекористування.</w:t>
      </w:r>
    </w:p>
    <w:p w:rsidR="00335480" w:rsidRDefault="00335480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Завдання роботи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1. Провести комплексну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геолого-технологічну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оцінку вугільних ресурсів і визначити раціональні напрями їх використання</w:t>
      </w:r>
      <w:r w:rsidRPr="0048460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впровадженням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>чистих вугільних енерготехнологій.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2. Обґрунтувати використання раціональних ресурсозберігаючих підходів до відпрацювання вугільних родовищ в умовах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слабометаморфізованих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порід для забезпечення ефективного та безаварійного видобутку.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3. Дослідити механізм поверхневих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гідрогеомеханічних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процесів  структурно ослаблених порід промислово навантажених територій з використанням </w:t>
      </w:r>
      <w:r w:rsidRPr="00484608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комплексної енергетичної моделі стійкості породних масивів.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4. Обґрунтувати підходи до моніторингу та прогнозування зміни просторових характеристик порушених земель та розробити метод встановлення меж охоронних зон на місцевості з їх подальшою державною  реєстрацією.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 Систематизувати фактори, які впливають на сталий розвиток промислово-видобувних територій та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розробити алгоритм їх комплексного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у часі та просторі.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 дослідження.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Авторами використані фундаментальні основи механіки гірських порід, фільтрації,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геоміграції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, динаміки складних систем, а також аналіз світового та вітчизняного досвіду в області функціонування промислово-видобувних територій. Застосовано комплекс методів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вуглепетрографії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, літології, використано результати вуглехімічних та хіміко-технологічних методів. Висновки зроблено за результатами обробки даних хіміко-технологічного аналізу та речовинного складу понад 3100 свердловин (4275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пластоперетинів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). Експериментальні дослідження ослаблених порід проведені на сучасному обладнанні –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стабілометр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Tri-Scan 50 (Великобританія), прес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КС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-200/EUR (Італія). Під час проведення шахтних експериментальних досліджень вивчено 374 шліфів у прохідному світлі (POLAM P-312). Для обробки результатів експериментів використано генетичний, статистико-аналітичний та інформаційний методи. Для моделювання, візуалізації та аналізу змін показників якості вугілля за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латераллю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і розрахунків, використано програмні комплекси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Golden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Software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Surfer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  <w:highlight w:val="white"/>
        </w:rPr>
        <w:t>Statistica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  <w:highlight w:val="white"/>
        </w:rPr>
        <w:t>Statsoft</w:t>
      </w:r>
      <w:proofErr w:type="spellEnd"/>
      <w:r w:rsidRPr="00484608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.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lastRenderedPageBreak/>
        <w:t>Обчислювальні експерименти проведено на основі методу кінцевих елементів та кінцевих різниць (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Solidworks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, ANSYS,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Modflow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t xml:space="preserve">Зв'язок роботи з науковими програмами, планами, темами.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ab/>
        <w:t xml:space="preserve">Роботу виконано на кафедрах загальної та структурної геології; гідрогеології та інженерної геології; геодезії; підземної розробки родовищ Державного вищого навчального закладу «Національний гірничий університет», відповідно до плану найважливіших держбюджетних робіт Міністерства освіти і науки України: ГП-440 «Фізико-технічні основи енергозберігаючої технології підземної розробки тонких і вельми тонких вугільних пластів»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0111U002810); ГП–443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“Геолого-гідрогеологічне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та геофізичне обґрунтування параметрів експлуатації і акумуляції теплової енергії техногенних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газогідротермальних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родовищ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Донбасу”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0111U002813), ГП-450 «Наукові основи деформування просторово-неоднорідної системи «масив-кріплення» з урахуванням контролю умов праці у шахтах за пиловим фактором»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0112U000869); В3341101000/ОБ-52 «Розроблення технологічного регламенту кріплення і охорони виїмкових виробок на пологих пластах»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0111U009438); ГП–459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0113U000403) «Наукові основи раціонального використання вугільних ресурсів середнього карбону Західного Донбасу», ГП-469 «Розробка засад синтезу інформаційних 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геомеханічних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систем керування процесами підземних гірничих робіт»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0114U006105); ГП–479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“Обґрунтування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комплексу геотехнологічних модулів з використання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природнотехногенного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ресурсу родовищ корисних копалин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України”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0115U002300), ГП – 463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0113U000407), ГП-492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“Термогідродинамічна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і геотехнологічна параметризація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геогідротермальних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ресурсів України у техногенному геологічному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середовищі”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0115U002297),  ГП-493 «Теоретичні та практичні основи управління нестійкими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геомеханічними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системами «масив – кріплення» підземних виробок» 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0117U001131); ГП-497 «Ресурсозберігаюча геотехнологічна і гідродинамічна параметризація видобутку малопотужних запасів мінеральної сировини у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техногенно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навантаженому середовищі» (№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0117U006753), господарчих договорів з підприємствами (№№ 040823-040828,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lastRenderedPageBreak/>
        <w:t>040830-040833). Автори роботи, що представляється, були керівниками, відповідальними виконавцями та основними виконавцями цих тем.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t>Наукова новизна отриманих результатів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color w:val="274E13"/>
          <w:sz w:val="28"/>
          <w:szCs w:val="28"/>
        </w:rPr>
        <w:t xml:space="preserve">–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вперше для середнього карбону Західного Донбасу за комплексом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вуглепетрографічних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методів, як складової системи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, виділено дві групи пластів: нижня (башкирський ярус) і верхня (московський ярус), які мають окремі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петрогенетичні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особливості вугілля, що визначають напрями його використання у промисловості; 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color w:val="274E13"/>
          <w:sz w:val="28"/>
          <w:szCs w:val="28"/>
        </w:rPr>
        <w:t xml:space="preserve">–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>встановлено, що вугілля нижньої групи характеризуються меншою вологістю (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846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>. = 4,1 % ), зольністю (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846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d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= 16,7 – 18,9/17,7 %). сірчистістю та наявністю спікливості (Y = 5–6 мм. RJ = 20 – 50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ум.од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), 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відносится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до марок Д,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ДГ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та, частково, Г. Вугілля верхньої групи характеризується зниженими показниками спікливості, виходу первинної смоли, зольності (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846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d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= 11,3 – 19,8/14,7 %), теплоти згоряння, вмісту вуглецю, поряд з підвищеним вмістом вологи (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846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= 5,8 %), сірки, кисню, гумінових кислот і летких речовин, у золі вугілля в підвищеній кількості присутні оксиди натрію і калію, що впливає на вибір та обґрунтування напрямів їх використання (вугілля марки Д);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вперше розроблена просторова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геомеханічна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модель для дослідження проходження лави над підготовчою виробкою з урахуванням впливу глибини ведення робіт, структури і властивостей гірських порід, положення очисного вибою і параметрів кріплення виробки, що дозволило максимально наблизити модель до реальних гірничо-геологічних і гірничотехнічних умов для підвищення адекватності одержаних результатів;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проаналізовано характер і розміри зон опорного тиску, та встановлено, що вплив очисних робіт провокує зростання напружень до 350 - 400% в кріпленні виробок, що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надпрацьовуються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>. Встановлено, що найбільш інтенсивний вплив на систему кріплення відбувається при розташуванні очисного вибою безпосередньо над виробкою;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виявлено залежність раціональної відстані </w:t>
      </w:r>
      <w:r w:rsidRPr="00484608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штреку до вугільного пласта від глибини </w:t>
      </w:r>
      <w:r w:rsidRPr="00484608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розміщення виробки і середнього розрахункового опору стисненню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вміщуючого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масиву. Це дозволило встановити, що мінімально достатня глибина розташування дренажного штреку в підошві вугільного пласта для умов Західного Донбасу змінюється в діапазоні 8 – 24 м і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запропонувати вираз для розрахунку </w:t>
      </w:r>
      <w:r w:rsidRPr="00484608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 конкретній гірничо-геологічній ситуації.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встановлено нові закономірності зв'язку параметрів кріплення виробки, що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надпрацьовується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геомеханічними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факторами її підтримки, що відрізняються від відомих з урахуванням їх взаємовпливу як в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домежних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>, так і позамежних стадіях деформування кожної складової геотехнічної системи;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експериментально досліджені закономірності ослаблення структурної стійкості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порід регіону. Вперше встановлено, що анізотропія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масиву набуває інверсії внаслідок техногенного впливу фільтраційних і деформаційних процесів у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присхилових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областях при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девіаторі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напружень 150...200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кПа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, що призводить до активізації процесів глибинної ерозії в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породах, при цьому значення коефіцієнта фільтрації в горизонтальному і вертикальному напрямках відрізняються до 9 разів; 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обґрунтовано математична модель фільтраційних процесів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техногенно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навантаженого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масиву площі ж/м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“Тополя”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скінченнорізницевою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схемою. Рішення варіантного ряду нестаціонарних обернених задач дозволили сформувати повну ретроспективну картину динаміки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рівневого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режиму підземних вод і встановити, що техногенна інфільтрація майже втричі перевищує природну та є основним фактором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зсувонебезпечності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вперше експериментально отримано кількісні значення виносу часток та їх гранулометричний склад для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техногенно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зміненого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суглинку Дніпропетровського регіону з виділенням зони переходу суфозії в глибинну ерозію при інтервалі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девіатора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напружень 150...200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кПа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та гідравлічному градієнту від 20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кПа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розроблено принципово нову модель стійкості структурно ослаблених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порід для прогнозу стійкості основ будівель і споруд, що базується на врахуванні енергетичних і гідродинамічних параметрів при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довтотривалому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техногенному навантаженні на масив;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вперше досліджено можливості проведення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промислово-видобувних територій, у разі зміни системи координат або втрати вихідних пунктів і відсутності можливості використання трансформаційного поля;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встановлено взаємозв’язки між розмірами зон дії обмежень промислових об’єктів та їх конфігурацією, з урахуванням критерію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мінімалізації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втрати площ, що дозволяє раціонально використовувати прилеглі території;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– вперше використано системний підхід до визначення факторів, що впливають на просторове розміщення промислових підприємств;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– обґрунтовано складові інформаційної взаємодії під час проектування, визначення розмірів та державної реєстрації охоронних зон.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Наукове значення роботи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>визначають вперше встановлені закономірності та їх науково-практичне використання, а саме: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латеральні та стратиграфічні закономірності зміни петрографічного складу та показників якості вугілля як прогнозні критерії для планування його подальшого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енергоефективного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встановлено параметри системи кріплення виробки, що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надпрацьовується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очисними роботами по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вищерозташованому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вугільному пласту, на основі аналізу закономірностей впливу напружено-деформованого стану породного масиву на стійкість підготовчої виробки від глибини її проведення та властивостей гірських порід;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– закономірності фільтраційних і поверхневих деформаційних процесів при довготривалому техногенному навантаженні регіону з формуванням зсувів течії і виділенням критичної фази фільтраційної інверсії для прогнозу стійкості ґрунтових схилів;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встановлено особливості прогнозування зміни просторових характеристик порушених земель за допомогою наземного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з використанням GNSS обладнання геодезичного класу точності у випадках зміни систем координат пунктів спостережень;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– обґрунтовано закономірності взаємозв’язків між видом охоронних зон і конфігурацією меж під час їх проектування та встановлення на місцевості, а також фактори сталого землекористування промислових територій.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t>Практичне значення результатів роботи.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розроблено методологічні засади інтерпретації даних про склад та якість вугілля для обґрунтування шляхів його раціонального використання;  доведено, що головними чинниками, які контролюють якість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lastRenderedPageBreak/>
        <w:t>середньокарбонового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вугілля Західного Донбасу є ступінь метаморфізму, петрографічний склад та ступінь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відновленості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вугілля;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обґрунтовано комплексний підхід до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вугільних ресурсів на всіх стадіях: від геологорозвідувальних до видобувних робіт;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рекомендовано шляхи використання вугілля низьких рангів Дніпровсько-Харківського регіону, як ресурсної бази для чистих вугільних енерготехнологій, синтетичного та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водовугільного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палива за допомогою комплексу петрографічних та хіміко-технологічних показників;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розроблено рекомендації з розташування виробки, що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надпрацьовується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>, відносно вугільного пласта, що дозволить знизити вплив очисних робіт на стійкість виробок;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обґрунтовано методику вибору раціональних параметрів засобів кріплення підготовчих виробок в умовах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надпрацювання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>, що дозволить знизити матеріаломісткість кріплення без зниження стійкості виробки;</w:t>
      </w:r>
    </w:p>
    <w:p w:rsidR="00484608" w:rsidRPr="00484608" w:rsidRDefault="00484608" w:rsidP="00567998">
      <w:pPr>
        <w:pStyle w:val="normal"/>
        <w:spacing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обґрунтовано методику оцінки стійкості ослаблених масивів, яка базується на врахуванні енергетичних і гідродинамічних параметрів, що адаптована для розв’язання задач стійкості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льосів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техногенно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порушеному геологічному середовищі. Встановлено, що основним параметром, який визначає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зсувонебезпечність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ослабленого масиву, є потенціал активації схилу у вигляді суми градієнтів повної енергії та градієнтів деформацій. Потенціал активації в стадії активізації зсувного процесу знаходиться в діапазоні 0,08...0,09 і є критичним;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вирішено практичні завдання оцінки стійкості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льосових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порід на конкретних об’єктах з високим ступенем антропогенного впливу. Визначено інтервали глибин і геологічні шари з найбільш інтенсивним розвитком деформаційних і суфозійних процесів за результатами аналізу енергетичних і фільтраційних властивостей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техногенно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навантаженого масиву;  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– впроваджений у практику метод порівняння векторів між станціями спостереження під час проведення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геомоніторингу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у разі зміни систем координат або втрати вихідних пунктів на схилах природних балок;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– розроблено методику проектування і винесення на місцевість меж охоронних зон об’єктів промисловості;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lastRenderedPageBreak/>
        <w:t>– розроблений порядок інформаційної взаємодії між різними суб’єктами інформаційного забезпечення для реєстрації охоронних зон у державному земельному кадастрі.</w:t>
      </w:r>
    </w:p>
    <w:p w:rsidR="00484608" w:rsidRPr="00484608" w:rsidRDefault="00484608" w:rsidP="00567998">
      <w:pPr>
        <w:pStyle w:val="normal"/>
        <w:spacing w:line="324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Реалізація результатів роботи.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Результати досліджень впроваджено у ТОВ НВП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“ДніпроДІІНТР”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у вигляді рекомендацій щодо проектування і проведення моніторингових та інженерних заходів на потенційно зсувонебезпечній ділянці ж/м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“Тополя”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, проекті  і впровадженні підсилення основ фундаментів будинку ОСББ ЖК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“Славний”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інститутом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“Дніпропроектстальконструкція”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з реальним економічним ефектом 2,5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грн. Розроблено та затверджено «Технологічний регламент кріплення та охорони виїмкових виробок на пологих пластах» (Міністерство палива та енергетики України). Впроваджено «Методику визначення раціональних параметрів розташування та засобів кріплення виробок, що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надпрацьовуються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>, в тонкошаруватому масиві слабких порід», яка передана для використання при складанні проектної документації в ШУ «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Тернівське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» ПАО "ДТЕК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Павлоградвугілля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". Річний економічний ефект склав 2,45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грн по шахті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“Самарська”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. Річний економічний ефект при проектуванні 171 лави шахти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“Степова”</w:t>
      </w:r>
      <w:proofErr w:type="spellEnd"/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з використанням методики склав 338 тис грн.</w:t>
      </w:r>
    </w:p>
    <w:p w:rsidR="00484608" w:rsidRPr="00484608" w:rsidRDefault="00484608" w:rsidP="00567998">
      <w:pPr>
        <w:pStyle w:val="normal"/>
        <w:spacing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ab/>
      </w:r>
      <w:r w:rsidRPr="00484608">
        <w:rPr>
          <w:rFonts w:ascii="Times New Roman" w:eastAsia="Times New Roman" w:hAnsi="Times New Roman" w:cs="Times New Roman"/>
          <w:b/>
          <w:sz w:val="28"/>
          <w:szCs w:val="28"/>
        </w:rPr>
        <w:t>Кількість публікацій:</w:t>
      </w: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FA" w:rsidRPr="00415BFA">
        <w:rPr>
          <w:rFonts w:ascii="Times New Roman" w:hAnsi="Times New Roman" w:cs="Times New Roman"/>
          <w:sz w:val="28"/>
          <w:szCs w:val="28"/>
        </w:rPr>
        <w:t xml:space="preserve">103, в т.ч. 3 монографії, 1 патент України, 1 нормативний документ, 62 статті (з них 12 – у зарубіжних виданнях, 9 – у виданнях, що входять у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наукометричну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, 2 – у виданнях, що входять у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наукометричну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Coperniсus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, </w:t>
      </w:r>
      <w:r w:rsidR="00777337" w:rsidRPr="00777337">
        <w:rPr>
          <w:rFonts w:ascii="Times New Roman" w:hAnsi="Times New Roman" w:cs="Times New Roman"/>
          <w:sz w:val="28"/>
          <w:szCs w:val="28"/>
        </w:rPr>
        <w:t>39</w:t>
      </w:r>
      <w:r w:rsidR="00415BFA" w:rsidRPr="00415BFA">
        <w:rPr>
          <w:rFonts w:ascii="Times New Roman" w:hAnsi="Times New Roman" w:cs="Times New Roman"/>
          <w:sz w:val="28"/>
          <w:szCs w:val="28"/>
        </w:rPr>
        <w:t xml:space="preserve"> - у фахових виданнях з переліку МОН України), </w:t>
      </w:r>
      <w:r w:rsidR="00777337" w:rsidRPr="00777337">
        <w:rPr>
          <w:rFonts w:ascii="Times New Roman" w:hAnsi="Times New Roman" w:cs="Times New Roman"/>
          <w:sz w:val="28"/>
          <w:szCs w:val="28"/>
        </w:rPr>
        <w:t>36</w:t>
      </w:r>
      <w:r w:rsidR="00415BFA" w:rsidRPr="00415BFA">
        <w:rPr>
          <w:rFonts w:ascii="Times New Roman" w:hAnsi="Times New Roman" w:cs="Times New Roman"/>
          <w:sz w:val="28"/>
          <w:szCs w:val="28"/>
        </w:rPr>
        <w:t xml:space="preserve"> -у збірниках матеріалів конференцій. Згідно з базою даних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Shcolar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 h-індекс (за роботою) = 8, </w:t>
      </w:r>
      <w:proofErr w:type="spellStart"/>
      <w:r w:rsidR="00415BFA" w:rsidRPr="00415BF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415BFA" w:rsidRPr="00415BFA">
        <w:rPr>
          <w:rFonts w:ascii="Times New Roman" w:hAnsi="Times New Roman" w:cs="Times New Roman"/>
          <w:sz w:val="28"/>
          <w:szCs w:val="28"/>
        </w:rPr>
        <w:t xml:space="preserve"> h-індекс (за роботою) = 2. За даною тематикою захищено 4 кандидатські дисертації.</w:t>
      </w:r>
    </w:p>
    <w:p w:rsidR="00484608" w:rsidRPr="00484608" w:rsidRDefault="00484608" w:rsidP="00567998">
      <w:pPr>
        <w:pStyle w:val="normal"/>
        <w:spacing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56799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>Автори роботи:</w:t>
      </w:r>
    </w:p>
    <w:p w:rsidR="00484608" w:rsidRPr="00484608" w:rsidRDefault="00484608" w:rsidP="005679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5679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Н.І.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Деревягіна</w:t>
      </w:r>
      <w:proofErr w:type="spellEnd"/>
    </w:p>
    <w:p w:rsidR="00484608" w:rsidRPr="00484608" w:rsidRDefault="00484608" w:rsidP="005679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5679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Д.В.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Приходченко</w:t>
      </w:r>
      <w:proofErr w:type="spellEnd"/>
    </w:p>
    <w:p w:rsidR="00484608" w:rsidRPr="00484608" w:rsidRDefault="00484608" w:rsidP="005679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5679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В.О. </w:t>
      </w:r>
      <w:proofErr w:type="spellStart"/>
      <w:r w:rsidRPr="00484608">
        <w:rPr>
          <w:rFonts w:ascii="Times New Roman" w:eastAsia="Times New Roman" w:hAnsi="Times New Roman" w:cs="Times New Roman"/>
          <w:sz w:val="28"/>
          <w:szCs w:val="28"/>
        </w:rPr>
        <w:t>Соцков</w:t>
      </w:r>
      <w:proofErr w:type="spellEnd"/>
    </w:p>
    <w:p w:rsidR="00484608" w:rsidRPr="00484608" w:rsidRDefault="00484608" w:rsidP="005679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608" w:rsidRPr="00484608" w:rsidRDefault="00484608" w:rsidP="005679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4608">
        <w:rPr>
          <w:rFonts w:ascii="Times New Roman" w:eastAsia="Times New Roman" w:hAnsi="Times New Roman" w:cs="Times New Roman"/>
          <w:sz w:val="28"/>
          <w:szCs w:val="28"/>
        </w:rPr>
        <w:t xml:space="preserve">М.В. Трегуб </w:t>
      </w:r>
    </w:p>
    <w:p w:rsidR="00630F11" w:rsidRPr="00484608" w:rsidRDefault="00630F11" w:rsidP="00567998">
      <w:pPr>
        <w:spacing w:after="0" w:line="240" w:lineRule="auto"/>
        <w:jc w:val="right"/>
        <w:rPr>
          <w:szCs w:val="28"/>
        </w:rPr>
      </w:pPr>
    </w:p>
    <w:sectPr w:rsidR="00630F11" w:rsidRPr="00484608" w:rsidSect="0072690C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D3" w:rsidRDefault="001267D3" w:rsidP="00491A57">
      <w:pPr>
        <w:spacing w:after="0" w:line="240" w:lineRule="auto"/>
      </w:pPr>
      <w:r>
        <w:separator/>
      </w:r>
    </w:p>
  </w:endnote>
  <w:endnote w:type="continuationSeparator" w:id="1">
    <w:p w:rsidR="001267D3" w:rsidRDefault="001267D3" w:rsidP="0049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D3" w:rsidRDefault="001267D3" w:rsidP="00491A57">
      <w:pPr>
        <w:spacing w:after="0" w:line="240" w:lineRule="auto"/>
      </w:pPr>
      <w:r>
        <w:separator/>
      </w:r>
    </w:p>
  </w:footnote>
  <w:footnote w:type="continuationSeparator" w:id="1">
    <w:p w:rsidR="001267D3" w:rsidRDefault="001267D3" w:rsidP="0049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9269"/>
      <w:docPartObj>
        <w:docPartGallery w:val="Page Numbers (Top of Page)"/>
        <w:docPartUnique/>
      </w:docPartObj>
    </w:sdtPr>
    <w:sdtContent>
      <w:p w:rsidR="006A785F" w:rsidRDefault="00165BCB">
        <w:pPr>
          <w:pStyle w:val="a4"/>
          <w:jc w:val="right"/>
        </w:pPr>
        <w:r w:rsidRPr="006A785F">
          <w:rPr>
            <w:rFonts w:ascii="Times New Roman" w:hAnsi="Times New Roman" w:cs="Times New Roman"/>
          </w:rPr>
          <w:fldChar w:fldCharType="begin"/>
        </w:r>
        <w:r w:rsidR="006A785F" w:rsidRPr="006A785F">
          <w:rPr>
            <w:rFonts w:ascii="Times New Roman" w:hAnsi="Times New Roman" w:cs="Times New Roman"/>
          </w:rPr>
          <w:instrText xml:space="preserve"> PAGE   \* MERGEFORMAT </w:instrText>
        </w:r>
        <w:r w:rsidRPr="006A785F">
          <w:rPr>
            <w:rFonts w:ascii="Times New Roman" w:hAnsi="Times New Roman" w:cs="Times New Roman"/>
          </w:rPr>
          <w:fldChar w:fldCharType="separate"/>
        </w:r>
        <w:r w:rsidR="00777337">
          <w:rPr>
            <w:rFonts w:ascii="Times New Roman" w:hAnsi="Times New Roman" w:cs="Times New Roman"/>
            <w:noProof/>
          </w:rPr>
          <w:t>10</w:t>
        </w:r>
        <w:r w:rsidRPr="006A785F">
          <w:rPr>
            <w:rFonts w:ascii="Times New Roman" w:hAnsi="Times New Roman" w:cs="Times New Roman"/>
          </w:rPr>
          <w:fldChar w:fldCharType="end"/>
        </w:r>
      </w:p>
    </w:sdtContent>
  </w:sdt>
  <w:p w:rsidR="00605C91" w:rsidRDefault="00605C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BCB"/>
    <w:multiLevelType w:val="singleLevel"/>
    <w:tmpl w:val="03C02D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effect w:val="none"/>
        <w:vertAlign w:val="baseline"/>
      </w:rPr>
    </w:lvl>
  </w:abstractNum>
  <w:abstractNum w:abstractNumId="1">
    <w:nsid w:val="472C2836"/>
    <w:multiLevelType w:val="hybridMultilevel"/>
    <w:tmpl w:val="D9D688AC"/>
    <w:lvl w:ilvl="0" w:tplc="FFFFFFFF">
      <w:start w:val="1"/>
      <w:numFmt w:val="decimal"/>
      <w:pStyle w:val="a"/>
      <w:lvlText w:val="%1.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DF15811"/>
    <w:multiLevelType w:val="hybridMultilevel"/>
    <w:tmpl w:val="8872DF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CD0697"/>
    <w:multiLevelType w:val="hybridMultilevel"/>
    <w:tmpl w:val="05D89332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7EDC00F5"/>
    <w:multiLevelType w:val="hybridMultilevel"/>
    <w:tmpl w:val="C89488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иколай трегуб">
    <w15:presenceInfo w15:providerId="Windows Live" w15:userId="0f00837b32f9c7c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A57"/>
    <w:rsid w:val="00031C78"/>
    <w:rsid w:val="00041B0E"/>
    <w:rsid w:val="000651E8"/>
    <w:rsid w:val="00070279"/>
    <w:rsid w:val="00080A7F"/>
    <w:rsid w:val="00105CB7"/>
    <w:rsid w:val="001267D3"/>
    <w:rsid w:val="00152752"/>
    <w:rsid w:val="0015470B"/>
    <w:rsid w:val="0016077F"/>
    <w:rsid w:val="00165BCB"/>
    <w:rsid w:val="00223B73"/>
    <w:rsid w:val="0022534A"/>
    <w:rsid w:val="003052C4"/>
    <w:rsid w:val="00317196"/>
    <w:rsid w:val="0032723A"/>
    <w:rsid w:val="00327DFE"/>
    <w:rsid w:val="00335480"/>
    <w:rsid w:val="003526EB"/>
    <w:rsid w:val="00362D16"/>
    <w:rsid w:val="003E2A23"/>
    <w:rsid w:val="003F39FD"/>
    <w:rsid w:val="00415BFA"/>
    <w:rsid w:val="004443D4"/>
    <w:rsid w:val="00472848"/>
    <w:rsid w:val="00484608"/>
    <w:rsid w:val="00491A57"/>
    <w:rsid w:val="004D7F3B"/>
    <w:rsid w:val="00523683"/>
    <w:rsid w:val="005560BE"/>
    <w:rsid w:val="005567EE"/>
    <w:rsid w:val="00567998"/>
    <w:rsid w:val="005D1EB5"/>
    <w:rsid w:val="00605C91"/>
    <w:rsid w:val="00607653"/>
    <w:rsid w:val="00622543"/>
    <w:rsid w:val="00630F11"/>
    <w:rsid w:val="0063470B"/>
    <w:rsid w:val="0068132C"/>
    <w:rsid w:val="006A785F"/>
    <w:rsid w:val="006D0F85"/>
    <w:rsid w:val="006D3604"/>
    <w:rsid w:val="006E71E3"/>
    <w:rsid w:val="0072690C"/>
    <w:rsid w:val="00753B56"/>
    <w:rsid w:val="00777337"/>
    <w:rsid w:val="007C44B9"/>
    <w:rsid w:val="007E6C44"/>
    <w:rsid w:val="00826192"/>
    <w:rsid w:val="00847078"/>
    <w:rsid w:val="008B4033"/>
    <w:rsid w:val="0090640F"/>
    <w:rsid w:val="009473D8"/>
    <w:rsid w:val="00952C33"/>
    <w:rsid w:val="0095741A"/>
    <w:rsid w:val="009D2B94"/>
    <w:rsid w:val="009F732A"/>
    <w:rsid w:val="00A12A74"/>
    <w:rsid w:val="00A131C5"/>
    <w:rsid w:val="00AC7B81"/>
    <w:rsid w:val="00AD2C78"/>
    <w:rsid w:val="00AD67DD"/>
    <w:rsid w:val="00AE2A32"/>
    <w:rsid w:val="00AF0719"/>
    <w:rsid w:val="00AF604B"/>
    <w:rsid w:val="00B4317D"/>
    <w:rsid w:val="00B45120"/>
    <w:rsid w:val="00B6069E"/>
    <w:rsid w:val="00BA5F7C"/>
    <w:rsid w:val="00BB2A29"/>
    <w:rsid w:val="00BC4ADD"/>
    <w:rsid w:val="00C05CBF"/>
    <w:rsid w:val="00C879E8"/>
    <w:rsid w:val="00CA47F7"/>
    <w:rsid w:val="00CC13B0"/>
    <w:rsid w:val="00CC1ED1"/>
    <w:rsid w:val="00CE6B77"/>
    <w:rsid w:val="00D06036"/>
    <w:rsid w:val="00D160F8"/>
    <w:rsid w:val="00D32FE5"/>
    <w:rsid w:val="00D453BD"/>
    <w:rsid w:val="00D6565E"/>
    <w:rsid w:val="00D916EF"/>
    <w:rsid w:val="00E206CF"/>
    <w:rsid w:val="00E924DD"/>
    <w:rsid w:val="00ED1C71"/>
    <w:rsid w:val="00EE5BED"/>
    <w:rsid w:val="00EF0001"/>
    <w:rsid w:val="00F24B82"/>
    <w:rsid w:val="00F33192"/>
    <w:rsid w:val="00F553F2"/>
    <w:rsid w:val="00F55AE9"/>
    <w:rsid w:val="00FB20BC"/>
    <w:rsid w:val="00FB49BE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6EF"/>
  </w:style>
  <w:style w:type="paragraph" w:styleId="1">
    <w:name w:val="heading 1"/>
    <w:basedOn w:val="a0"/>
    <w:link w:val="10"/>
    <w:uiPriority w:val="9"/>
    <w:qFormat/>
    <w:rsid w:val="00472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284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4">
    <w:name w:val="header"/>
    <w:basedOn w:val="a0"/>
    <w:link w:val="a5"/>
    <w:uiPriority w:val="99"/>
    <w:rsid w:val="00491A57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91A57"/>
    <w:rPr>
      <w:rFonts w:ascii="Calibri" w:eastAsia="Times New Roman" w:hAnsi="Calibri" w:cs="Calibri"/>
      <w:lang w:val="ru-RU" w:eastAsia="ru-RU"/>
    </w:rPr>
  </w:style>
  <w:style w:type="paragraph" w:styleId="2">
    <w:name w:val="Body Text Indent 2"/>
    <w:basedOn w:val="a0"/>
    <w:link w:val="20"/>
    <w:uiPriority w:val="99"/>
    <w:rsid w:val="00491A57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91A57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6">
    <w:name w:val="Body Text Indent"/>
    <w:basedOn w:val="a0"/>
    <w:link w:val="a7"/>
    <w:uiPriority w:val="99"/>
    <w:rsid w:val="00491A57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491A57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8">
    <w:name w:val="Balloon Text"/>
    <w:basedOn w:val="a0"/>
    <w:link w:val="a9"/>
    <w:uiPriority w:val="99"/>
    <w:semiHidden/>
    <w:unhideWhenUsed/>
    <w:rsid w:val="0049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1A57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ab"/>
    <w:uiPriority w:val="99"/>
    <w:unhideWhenUsed/>
    <w:rsid w:val="00491A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91A57"/>
  </w:style>
  <w:style w:type="character" w:styleId="ac">
    <w:name w:val="page number"/>
    <w:basedOn w:val="a1"/>
    <w:rsid w:val="00472848"/>
  </w:style>
  <w:style w:type="paragraph" w:customStyle="1" w:styleId="ad">
    <w:name w:val="формула"/>
    <w:basedOn w:val="a0"/>
    <w:link w:val="ae"/>
    <w:rsid w:val="00472848"/>
    <w:pPr>
      <w:tabs>
        <w:tab w:val="center" w:pos="4678"/>
        <w:tab w:val="right" w:pos="9356"/>
      </w:tabs>
      <w:spacing w:before="60" w:after="6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e">
    <w:name w:val="формула Знак"/>
    <w:basedOn w:val="a1"/>
    <w:link w:val="ad"/>
    <w:rsid w:val="004728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">
    <w:name w:val="Литература"/>
    <w:rsid w:val="00472848"/>
    <w:pPr>
      <w:numPr>
        <w:numId w:val="1"/>
      </w:numPr>
      <w:tabs>
        <w:tab w:val="clear" w:pos="1163"/>
        <w:tab w:val="left" w:pos="454"/>
      </w:tabs>
      <w:spacing w:after="0" w:line="360" w:lineRule="auto"/>
      <w:ind w:left="454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har1">
    <w:name w:val="Char Знак Знак Знак Знак Знак Знак Знак Знак Знак Знак Знак Знак Знак Знак1 Знак"/>
    <w:basedOn w:val="a0"/>
    <w:rsid w:val="00472848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annotation text"/>
    <w:basedOn w:val="a0"/>
    <w:link w:val="af0"/>
    <w:semiHidden/>
    <w:rsid w:val="0047284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примечания Знак"/>
    <w:basedOn w:val="a1"/>
    <w:link w:val="af"/>
    <w:semiHidden/>
    <w:rsid w:val="004728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2"/>
    <w:uiPriority w:val="59"/>
    <w:rsid w:val="0047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4728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1"/>
    <w:rsid w:val="00472848"/>
  </w:style>
  <w:style w:type="character" w:customStyle="1" w:styleId="apple-converted-space">
    <w:name w:val="apple-converted-space"/>
    <w:rsid w:val="00472848"/>
  </w:style>
  <w:style w:type="paragraph" w:customStyle="1" w:styleId="af3">
    <w:name w:val="Îáû÷íûé"/>
    <w:rsid w:val="00472848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mer">
    <w:name w:val="Nomer"/>
    <w:basedOn w:val="a0"/>
    <w:link w:val="Nomer0"/>
    <w:rsid w:val="00472848"/>
    <w:pPr>
      <w:tabs>
        <w:tab w:val="left" w:pos="284"/>
        <w:tab w:val="num" w:pos="360"/>
      </w:tabs>
      <w:spacing w:after="0" w:line="240" w:lineRule="exact"/>
      <w:jc w:val="both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Nomer0">
    <w:name w:val="Nomer Знак"/>
    <w:link w:val="Nomer"/>
    <w:rsid w:val="00472848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Pa2">
    <w:name w:val="Pa2"/>
    <w:basedOn w:val="a0"/>
    <w:next w:val="a0"/>
    <w:rsid w:val="00472848"/>
    <w:pPr>
      <w:autoSpaceDE w:val="0"/>
      <w:autoSpaceDN w:val="0"/>
      <w:adjustRightInd w:val="0"/>
      <w:spacing w:after="0" w:line="221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472848"/>
    <w:pPr>
      <w:widowControl w:val="0"/>
      <w:spacing w:after="0" w:line="360" w:lineRule="auto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4">
    <w:name w:val="текст"/>
    <w:rsid w:val="00472848"/>
    <w:pPr>
      <w:tabs>
        <w:tab w:val="left" w:pos="3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customStyle="1" w:styleId="Podris">
    <w:name w:val="Podris"/>
    <w:basedOn w:val="a0"/>
    <w:rsid w:val="00472848"/>
    <w:pPr>
      <w:spacing w:after="60" w:line="240" w:lineRule="exact"/>
      <w:ind w:left="284" w:right="284"/>
      <w:jc w:val="center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styleId="af5">
    <w:name w:val="Hyperlink"/>
    <w:basedOn w:val="a1"/>
    <w:uiPriority w:val="99"/>
    <w:unhideWhenUsed/>
    <w:rsid w:val="00472848"/>
    <w:rPr>
      <w:color w:val="0000FF"/>
      <w:u w:val="single"/>
    </w:rPr>
  </w:style>
  <w:style w:type="paragraph" w:customStyle="1" w:styleId="Abzac">
    <w:name w:val="Abzac"/>
    <w:basedOn w:val="a0"/>
    <w:rsid w:val="00472848"/>
    <w:pPr>
      <w:suppressLineNumbers/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f6">
    <w:name w:val="List Paragraph"/>
    <w:basedOn w:val="a0"/>
    <w:uiPriority w:val="34"/>
    <w:qFormat/>
    <w:rsid w:val="0047284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ru-RU" w:eastAsia="en-US"/>
    </w:rPr>
  </w:style>
  <w:style w:type="paragraph" w:customStyle="1" w:styleId="MapleOutput">
    <w:name w:val="Maple Output"/>
    <w:next w:val="a0"/>
    <w:rsid w:val="0047284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hps">
    <w:name w:val="hps"/>
    <w:basedOn w:val="a1"/>
    <w:rsid w:val="00472848"/>
  </w:style>
  <w:style w:type="character" w:customStyle="1" w:styleId="atn">
    <w:name w:val="atn"/>
    <w:basedOn w:val="a1"/>
    <w:uiPriority w:val="99"/>
    <w:rsid w:val="00472848"/>
  </w:style>
  <w:style w:type="character" w:customStyle="1" w:styleId="hpsalt-edited">
    <w:name w:val="hps alt-edited"/>
    <w:basedOn w:val="a1"/>
    <w:rsid w:val="00472848"/>
  </w:style>
  <w:style w:type="character" w:customStyle="1" w:styleId="hpsatn">
    <w:name w:val="hps atn"/>
    <w:basedOn w:val="a1"/>
    <w:rsid w:val="00472848"/>
  </w:style>
  <w:style w:type="paragraph" w:styleId="af7">
    <w:name w:val="Body Text"/>
    <w:basedOn w:val="a0"/>
    <w:link w:val="af8"/>
    <w:rsid w:val="0007027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70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 Знак Знак"/>
    <w:basedOn w:val="a0"/>
    <w:autoRedefine/>
    <w:rsid w:val="0007027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pple-style-span">
    <w:name w:val="apple-style-span"/>
    <w:rsid w:val="00070279"/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9574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 w:bidi="sa-IN"/>
    </w:rPr>
  </w:style>
  <w:style w:type="character" w:customStyle="1" w:styleId="shorttext">
    <w:name w:val="short_text"/>
    <w:basedOn w:val="a1"/>
    <w:rsid w:val="00A12A74"/>
  </w:style>
  <w:style w:type="character" w:customStyle="1" w:styleId="m-8619076676125347736gmail-hps">
    <w:name w:val="m_-8619076676125347736gmail-hps"/>
    <w:basedOn w:val="a1"/>
    <w:rsid w:val="0015470B"/>
  </w:style>
  <w:style w:type="character" w:customStyle="1" w:styleId="m-8619076676125347736gmail-atn">
    <w:name w:val="m_-8619076676125347736gmail-atn"/>
    <w:basedOn w:val="a1"/>
    <w:rsid w:val="0015470B"/>
  </w:style>
  <w:style w:type="paragraph" w:customStyle="1" w:styleId="21">
    <w:name w:val="Обычный2"/>
    <w:rsid w:val="0072690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normal">
    <w:name w:val="normal"/>
    <w:rsid w:val="0048460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C574-D2E6-4560-9529-52B01652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12507</Words>
  <Characters>7129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Nalaty</dc:creator>
  <cp:keywords/>
  <dc:description/>
  <cp:lastModifiedBy>User</cp:lastModifiedBy>
  <cp:revision>56</cp:revision>
  <cp:lastPrinted>2018-02-21T13:14:00Z</cp:lastPrinted>
  <dcterms:created xsi:type="dcterms:W3CDTF">2017-02-19T21:55:00Z</dcterms:created>
  <dcterms:modified xsi:type="dcterms:W3CDTF">2018-02-21T14:57:00Z</dcterms:modified>
</cp:coreProperties>
</file>