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D8" w:rsidRDefault="005D2BD8" w:rsidP="005D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5D2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ЗАГАЛЬНА ХАРАКТЕРИСТИКА РОБОТИ</w:t>
      </w:r>
    </w:p>
    <w:p w:rsidR="00592F8E" w:rsidRPr="005D2BD8" w:rsidRDefault="00592F8E" w:rsidP="005D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2BD8" w:rsidRPr="005D2BD8" w:rsidRDefault="005D2BD8" w:rsidP="005D2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Актуальність теми. </w:t>
      </w:r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Нирки належать до органів, які одними із перших реагують на токсичний вплив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ксенобіотиків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, що пов’язано з їхньою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детоксикаційною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 функцією (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Forbes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 J. M., 2000). Протипухлинні ліки на основі перехідних металів мають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нефротоксичну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 дію, особливо такі препарати як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цисплатин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карбоплатин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. Ці сполуки здатні змінювати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редокс-стан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 клітин, що викликає цитоліз епітеліальних клітин канальців нирок,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фібропроліферацію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 та запалення нирок (Sheikh-Hamad D., 2008). Тому існує необхідність пошуку нових або корекції існуючих схем протипухлинної терапії з менш токсичними побічними ефектами та посиленням їхнього лікувального ефекту. С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полуки Ренію з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почверним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зв’язком мають унікальні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антирадикальні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та антиоксидантні властивості та є нетоксичним (Скорик О. Д., 2009). Зокрема, було доведено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гепатопротекторні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властивості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Івчук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В. В., 2011) сполук Ренію з різними органічними лігандами. Також в експериментах з окремими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кластерними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комплексами Ренію було показано відсутність змін функціональних маркерів нирок за умов введення їх здоровим щурам, а також їхню здатність знижувати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нефротоксичну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дію таких токсикантів як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тетрахлорметан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(Бабій С. О., 2010). Проте залишається невивченим стан нирок при введенні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в моделі пухлинного росту. </w:t>
      </w:r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Отже, </w:t>
      </w:r>
      <w:r w:rsidRPr="00B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актуальним є завдання – з’ясувати, чи здатні </w:t>
      </w:r>
      <w:proofErr w:type="spellStart"/>
      <w:r w:rsidRPr="00B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кластерні</w:t>
      </w:r>
      <w:proofErr w:type="spellEnd"/>
      <w:r w:rsidRPr="00B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сполуки Ренію з </w:t>
      </w:r>
      <w:proofErr w:type="spellStart"/>
      <w:r w:rsidRPr="00B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почверним</w:t>
      </w:r>
      <w:proofErr w:type="spellEnd"/>
      <w:r w:rsidRPr="00B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зв’язком гальмувати </w:t>
      </w:r>
      <w:proofErr w:type="spellStart"/>
      <w:r w:rsidRPr="00B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оксидативний</w:t>
      </w:r>
      <w:proofErr w:type="spellEnd"/>
      <w:r w:rsidRPr="00B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стрес, що виникає у тканинах нирок при канцерогенезі і призводить до порушення їхнього функціонального стану.</w:t>
      </w:r>
    </w:p>
    <w:p w:rsidR="005D2BD8" w:rsidRPr="005D2BD8" w:rsidRDefault="005D2BD8" w:rsidP="005D2B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2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Мета дослідження: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дослідити біохімічні маркери функціонального стану нирок у моделі пухлинного росту у щурів за умов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.</w:t>
      </w:r>
    </w:p>
    <w:p w:rsidR="005D2BD8" w:rsidRPr="005D2BD8" w:rsidRDefault="005D2BD8" w:rsidP="005D2B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D2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Задачі дослідження: </w:t>
      </w:r>
    </w:p>
    <w:p w:rsidR="005D2BD8" w:rsidRPr="00B76849" w:rsidRDefault="005D2BD8" w:rsidP="005D2BD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Визначити кліренс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, відносну реабсорбцію води, відносну масу нирок щурів за введення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сполук Ренію та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у моделі пухлинного росту</w:t>
      </w:r>
      <w:r w:rsidR="003C7E49">
        <w:rPr>
          <w:rFonts w:ascii="Times New Roman" w:eastAsia="Calibri" w:hAnsi="Times New Roman"/>
          <w:sz w:val="28"/>
          <w:szCs w:val="28"/>
          <w:lang w:val="uk-UA"/>
        </w:rPr>
        <w:t xml:space="preserve"> і гострої нефропатії</w:t>
      </w:r>
      <w:r w:rsidRPr="00B76849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D2BD8" w:rsidRPr="00B76849" w:rsidRDefault="005D2BD8" w:rsidP="005D2BD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Дослідити рівень загального білку та активність ферментів (лактатдегідрогенази і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γ-глутамілтранспептидази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) у тканині нирок та сечі щурів за введенням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сполук Ренію і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у моделі пухлинного росту. </w:t>
      </w:r>
    </w:p>
    <w:p w:rsidR="005D2BD8" w:rsidRPr="00B76849" w:rsidRDefault="005D2BD8" w:rsidP="005D2BD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Дослідити антиоксидантні властивості сполук Ренію за введення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сполук Ренію та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у моделі пухлинного росту, шляхом визначення рівня карбонільних,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тіолових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дисульфідних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груп білків, низькомолекулярних тіолів і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тіол-дисульфідного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співвідношення у тканині нирок щурів</w:t>
      </w:r>
      <w:r w:rsidR="003C7E49">
        <w:rPr>
          <w:rFonts w:ascii="Times New Roman" w:eastAsia="Calibri" w:hAnsi="Times New Roman"/>
          <w:sz w:val="28"/>
          <w:szCs w:val="28"/>
          <w:lang w:val="uk-UA"/>
        </w:rPr>
        <w:t xml:space="preserve"> і гострої нефропатії</w:t>
      </w:r>
      <w:r w:rsidRPr="00B76849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D2BD8" w:rsidRPr="00B76849" w:rsidRDefault="005D2BD8" w:rsidP="005D2BD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Визначити наявність морфологічних змін у нирковій тканині щурів за умов введення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сполук Ренію і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у моделі пухлинного росту.</w:t>
      </w:r>
    </w:p>
    <w:p w:rsidR="005D2BD8" w:rsidRPr="00B76849" w:rsidRDefault="005D2BD8" w:rsidP="005D2BD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Обґрунтувати можливий механізм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нефропротекторної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активності </w:t>
      </w:r>
      <w:proofErr w:type="spellStart"/>
      <w:r w:rsidRPr="00B76849">
        <w:rPr>
          <w:rFonts w:ascii="Times New Roman" w:eastAsia="Calibri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eastAsia="Calibri" w:hAnsi="Times New Roman"/>
          <w:sz w:val="28"/>
          <w:szCs w:val="28"/>
          <w:lang w:val="uk-UA"/>
        </w:rPr>
        <w:t xml:space="preserve"> сполук Ренію. </w:t>
      </w:r>
    </w:p>
    <w:p w:rsidR="005D2BD8" w:rsidRPr="00B76849" w:rsidRDefault="005D2BD8" w:rsidP="005D2B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D2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Наукова новизна одержаних результатів.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Вперше встановлено зміну біохімічних маркерів функціонального стану нирок у моделі пухлинного росту у щурів за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. Вперше виявлено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lastRenderedPageBreak/>
        <w:t>нефропротекторну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дію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у моделі пухлинного росту, що підтверджується зниженням активності ферментів у сечі, збільшенням швидкості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гломерулярної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фільтрації та морфологічним станом клітин нирок, збереженням концентраційної та фільтраційної функцій нирок під їхнім впливом. Доведено, що під дією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відбувається нормалізація процесів протеїнурії та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ферментурії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викликаних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ушкоджуючими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чинниками, що підтверджує їхні властивості щодо збереження цілісності клітин проксимального і дистального відділів нефронів. Вперше з’ясовано, що досліджені сполуки здатні стабілізувати окисно-відновну рівновагу у клітинах нирок шляхом зниження інтенсивності процесу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пероксидного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окиснення ліпідів (ПОЛ) та підвищення пулу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тіол-вмісних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антиоксидантів. Вперше доведено, що ефективність пригнічення процесу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пероксидного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окиснення ліпідів у тканині нирок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кластерними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комплексами Ренію залежить від інтенсивності радикальних процесів, викликаних токсикантами, що дає змогу віднести ці сполуки до ефективних антиоксидантів. </w:t>
      </w:r>
    </w:p>
    <w:p w:rsidR="005D2BD8" w:rsidRPr="00B76849" w:rsidRDefault="005D2BD8" w:rsidP="005D2B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На основі отриманих результатів запропоновано узагальнену схему можливого механізму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нефропротекторних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властивостей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Ренію.</w:t>
      </w:r>
    </w:p>
    <w:p w:rsidR="005D2BD8" w:rsidRPr="00B76849" w:rsidRDefault="005D2BD8" w:rsidP="005D2B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D2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Практичне значення отриманих результатів, впровадження їх у практику.</w:t>
      </w:r>
      <w:r w:rsidRPr="005D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Одержані дані щодо антиоксидантних 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нефропротекторних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властивостей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наноліпосомних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форм комплексів Ренію з органічними лігандами роблять актуальними подальші дослідження цих сполук як перспективних лікарських препаратів. Вони є підґрунтям для розробки засобів і схем корекції стану нирок при онкологічних захворюваннях, пов’язаних з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нефротоксичною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дією протипухлинних препаратів та порушенням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прооксидантно-антиоксидантної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рівноваги. Розроблено методологію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цитостатиків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ліпосомних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формах, що дозволяє досягти одночасно значного протипухлинного ефекту завдяки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синергічній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або адитивній дії сполук Ренію і Платини та знизити токсичність сполук Платини на нирки завдяки антиоксидантній активності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почверного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зв’язку у складі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Ренію. </w:t>
      </w:r>
      <w:r w:rsidR="004262FF" w:rsidRPr="004262FF">
        <w:rPr>
          <w:rFonts w:ascii="Times New Roman" w:hAnsi="Times New Roman"/>
          <w:sz w:val="28"/>
          <w:szCs w:val="28"/>
          <w:lang w:val="uk-UA"/>
        </w:rPr>
        <w:t>Основною галуззю для застосування даних досліджень є медицина, а саме медичні установи та науко</w:t>
      </w:r>
      <w:r w:rsidR="004262FF">
        <w:rPr>
          <w:rFonts w:ascii="Times New Roman" w:hAnsi="Times New Roman"/>
          <w:sz w:val="28"/>
          <w:szCs w:val="28"/>
          <w:lang w:val="uk-UA"/>
        </w:rPr>
        <w:t>во-дослідні установи, які займа</w:t>
      </w:r>
      <w:r w:rsidR="004262FF" w:rsidRPr="004262FF">
        <w:rPr>
          <w:rFonts w:ascii="Times New Roman" w:hAnsi="Times New Roman"/>
          <w:sz w:val="28"/>
          <w:szCs w:val="28"/>
          <w:lang w:val="uk-UA"/>
        </w:rPr>
        <w:t>ються проблемами лікуванням пухлинних захворювань. Отриман</w:t>
      </w:r>
      <w:r w:rsidR="004262FF">
        <w:rPr>
          <w:rFonts w:ascii="Times New Roman" w:hAnsi="Times New Roman"/>
          <w:sz w:val="28"/>
          <w:szCs w:val="28"/>
          <w:lang w:val="uk-UA"/>
        </w:rPr>
        <w:t>і результати є новими і відпові</w:t>
      </w:r>
      <w:r w:rsidR="004262FF" w:rsidRPr="004262FF">
        <w:rPr>
          <w:rFonts w:ascii="Times New Roman" w:hAnsi="Times New Roman"/>
          <w:sz w:val="28"/>
          <w:szCs w:val="28"/>
          <w:lang w:val="uk-UA"/>
        </w:rPr>
        <w:t>дають світовому рівню, що підтверджується публікацією низк</w:t>
      </w:r>
      <w:r w:rsidR="004262FF">
        <w:rPr>
          <w:rFonts w:ascii="Times New Roman" w:hAnsi="Times New Roman"/>
          <w:sz w:val="28"/>
          <w:szCs w:val="28"/>
          <w:lang w:val="uk-UA"/>
        </w:rPr>
        <w:t>и матеріалів у фахових вітчизня</w:t>
      </w:r>
      <w:r w:rsidR="004262FF" w:rsidRPr="004262FF">
        <w:rPr>
          <w:rFonts w:ascii="Times New Roman" w:hAnsi="Times New Roman"/>
          <w:sz w:val="28"/>
          <w:szCs w:val="28"/>
          <w:lang w:val="uk-UA"/>
        </w:rPr>
        <w:t>них і міжнародних виданнях, апробацією у вигляді доповідей н</w:t>
      </w:r>
      <w:r w:rsidR="004262FF">
        <w:rPr>
          <w:rFonts w:ascii="Times New Roman" w:hAnsi="Times New Roman"/>
          <w:sz w:val="28"/>
          <w:szCs w:val="28"/>
          <w:lang w:val="uk-UA"/>
        </w:rPr>
        <w:t>а вітчизняних і міжнародних нау</w:t>
      </w:r>
      <w:r w:rsidR="004262FF" w:rsidRPr="004262FF">
        <w:rPr>
          <w:rFonts w:ascii="Times New Roman" w:hAnsi="Times New Roman"/>
          <w:sz w:val="28"/>
          <w:szCs w:val="28"/>
          <w:lang w:val="uk-UA"/>
        </w:rPr>
        <w:t xml:space="preserve">кових форумах. </w:t>
      </w:r>
    </w:p>
    <w:p w:rsidR="005D2BD8" w:rsidRPr="005D2BD8" w:rsidRDefault="005D2BD8" w:rsidP="005D2B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2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Публікації. </w:t>
      </w:r>
      <w:r w:rsidRPr="00B76849">
        <w:rPr>
          <w:rFonts w:ascii="Times New Roman" w:hAnsi="Times New Roman"/>
          <w:color w:val="000000"/>
          <w:sz w:val="28"/>
          <w:szCs w:val="28"/>
          <w:lang w:val="uk-UA"/>
        </w:rPr>
        <w:t>За матер</w:t>
      </w:r>
      <w:r w:rsidR="001E217F">
        <w:rPr>
          <w:rFonts w:ascii="Times New Roman" w:hAnsi="Times New Roman"/>
          <w:color w:val="000000"/>
          <w:sz w:val="28"/>
          <w:szCs w:val="28"/>
          <w:lang w:val="uk-UA"/>
        </w:rPr>
        <w:t>іалами дисертації опубліковано 3</w:t>
      </w:r>
      <w:r w:rsidRPr="00B76849">
        <w:rPr>
          <w:rFonts w:ascii="Times New Roman" w:hAnsi="Times New Roman"/>
          <w:color w:val="000000"/>
          <w:sz w:val="28"/>
          <w:szCs w:val="28"/>
          <w:lang w:val="uk-UA"/>
        </w:rPr>
        <w:t>1 роботу</w:t>
      </w:r>
      <w:r w:rsidR="00B76849" w:rsidRPr="00B76849">
        <w:rPr>
          <w:rFonts w:ascii="Times New Roman" w:hAnsi="Times New Roman"/>
          <w:color w:val="000000"/>
          <w:sz w:val="28"/>
          <w:szCs w:val="28"/>
          <w:lang w:val="uk-UA"/>
        </w:rPr>
        <w:t xml:space="preserve">: 15 тез доповідей на конференціях і </w:t>
      </w:r>
      <w:r w:rsidR="001E217F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76849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в провідних фахових виданнях України</w:t>
      </w:r>
      <w:r w:rsidR="001E217F">
        <w:rPr>
          <w:rFonts w:ascii="Times New Roman" w:hAnsi="Times New Roman"/>
          <w:color w:val="000000"/>
          <w:sz w:val="28"/>
          <w:szCs w:val="28"/>
          <w:lang w:val="uk-UA"/>
        </w:rPr>
        <w:t>, 2 в реф</w:t>
      </w:r>
      <w:r w:rsidR="004262FF">
        <w:rPr>
          <w:rFonts w:ascii="Times New Roman" w:hAnsi="Times New Roman"/>
          <w:color w:val="000000"/>
          <w:sz w:val="28"/>
          <w:szCs w:val="28"/>
          <w:lang w:val="uk-UA"/>
        </w:rPr>
        <w:t>ерованих фахових виданнях Украї</w:t>
      </w:r>
      <w:r w:rsidR="001E217F">
        <w:rPr>
          <w:rFonts w:ascii="Times New Roman" w:hAnsi="Times New Roman"/>
          <w:color w:val="000000"/>
          <w:sz w:val="28"/>
          <w:szCs w:val="28"/>
          <w:lang w:val="uk-UA"/>
        </w:rPr>
        <w:t>ни</w:t>
      </w:r>
      <w:r w:rsidRPr="00B76849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 w:rsidR="00B76849" w:rsidRPr="00B76849">
        <w:rPr>
          <w:rFonts w:ascii="Times New Roman" w:hAnsi="Times New Roman"/>
          <w:color w:val="000000"/>
          <w:sz w:val="28"/>
          <w:szCs w:val="28"/>
          <w:lang w:val="uk-UA"/>
        </w:rPr>
        <w:t xml:space="preserve">3 статті опубліковано в міжнародних журналах з ненульовим </w:t>
      </w:r>
      <w:proofErr w:type="spellStart"/>
      <w:r w:rsidR="00B76849" w:rsidRPr="00B76849">
        <w:rPr>
          <w:rFonts w:ascii="Times New Roman" w:hAnsi="Times New Roman"/>
          <w:color w:val="000000"/>
          <w:sz w:val="28"/>
          <w:szCs w:val="28"/>
          <w:lang w:val="uk-UA"/>
        </w:rPr>
        <w:t>імпакт-фактором</w:t>
      </w:r>
      <w:proofErr w:type="spellEnd"/>
      <w:r w:rsidR="00B76849" w:rsidRPr="00B768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92F8E" w:rsidRDefault="00592F8E" w:rsidP="00B7684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6849" w:rsidRPr="00B76849" w:rsidRDefault="00B76849" w:rsidP="00B7684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6849">
        <w:rPr>
          <w:rFonts w:ascii="Times New Roman" w:hAnsi="Times New Roman"/>
          <w:b/>
          <w:sz w:val="28"/>
          <w:szCs w:val="28"/>
          <w:lang w:val="uk-UA"/>
        </w:rPr>
        <w:t>ОСНОВНИЙ ЗМІСТ РОБОТИ</w:t>
      </w:r>
    </w:p>
    <w:p w:rsidR="00B76849" w:rsidRPr="00B76849" w:rsidRDefault="00B76849" w:rsidP="00B768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Матеріали і методи.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У роботі досліджувались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сполуки Ренію(ІІІ) з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алкільними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лігандами 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наноліпосомній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формі (на основі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фосфотидилхоліну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) за їхнього окремого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введеня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або у складі протипухлинної системи Реній-Платина.</w:t>
      </w:r>
    </w:p>
    <w:p w:rsidR="00B76849" w:rsidRPr="00B76849" w:rsidRDefault="00B76849" w:rsidP="00B76849">
      <w:pPr>
        <w:keepLines/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lastRenderedPageBreak/>
        <w:t xml:space="preserve">У роботі використовували комплекси ряду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тетракарбоксилатів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дикарбоксилатів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цис-конфігурації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(рис.1): Re</w:t>
      </w:r>
      <w:r w:rsidRPr="00B76849">
        <w:rPr>
          <w:rFonts w:ascii="Times New Roman" w:hAnsi="Times New Roman"/>
          <w:i/>
          <w:sz w:val="28"/>
          <w:szCs w:val="28"/>
          <w:vertAlign w:val="subscript"/>
          <w:lang w:val="uk-UA"/>
        </w:rPr>
        <w:t>tetra-isobutirate</w:t>
      </w:r>
      <w:r w:rsidRPr="00B7684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t>– [Re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(</w:t>
      </w:r>
      <w:r w:rsidRPr="00B76849">
        <w:rPr>
          <w:rFonts w:ascii="Times New Roman" w:hAnsi="Times New Roman"/>
          <w:i/>
          <w:sz w:val="28"/>
          <w:szCs w:val="28"/>
          <w:lang w:val="uk-UA"/>
        </w:rPr>
        <w:t>i</w:t>
      </w:r>
      <w:r w:rsidRPr="00B76849">
        <w:rPr>
          <w:rFonts w:ascii="Times New Roman" w:hAnsi="Times New Roman"/>
          <w:sz w:val="28"/>
          <w:szCs w:val="28"/>
          <w:lang w:val="uk-UA"/>
        </w:rPr>
        <w:t>-C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76849">
        <w:rPr>
          <w:rFonts w:ascii="Times New Roman" w:hAnsi="Times New Roman"/>
          <w:sz w:val="28"/>
          <w:szCs w:val="28"/>
          <w:lang w:val="uk-UA"/>
        </w:rPr>
        <w:t>H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 w:rsidRPr="00B76849">
        <w:rPr>
          <w:rFonts w:ascii="Times New Roman" w:hAnsi="Times New Roman"/>
          <w:sz w:val="28"/>
          <w:szCs w:val="28"/>
          <w:lang w:val="uk-UA"/>
        </w:rPr>
        <w:t>COO)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B76849">
        <w:rPr>
          <w:rFonts w:ascii="Times New Roman" w:hAnsi="Times New Roman"/>
          <w:sz w:val="28"/>
          <w:szCs w:val="28"/>
          <w:lang w:val="uk-UA"/>
        </w:rPr>
        <w:t>Cl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] –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дихлоротетра-μ-ізобутиратодиреній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(ІІІ); Re</w:t>
      </w:r>
      <w:r w:rsidRPr="00B76849">
        <w:rPr>
          <w:rFonts w:ascii="Times New Roman" w:hAnsi="Times New Roman"/>
          <w:i/>
          <w:sz w:val="28"/>
          <w:szCs w:val="28"/>
          <w:vertAlign w:val="subscript"/>
          <w:lang w:val="uk-UA"/>
        </w:rPr>
        <w:t>cis-</w:t>
      </w:r>
      <w:proofErr w:type="spellStart"/>
      <w:r w:rsidRPr="00B76849">
        <w:rPr>
          <w:rFonts w:ascii="Times New Roman" w:hAnsi="Times New Roman"/>
          <w:i/>
          <w:sz w:val="28"/>
          <w:szCs w:val="28"/>
          <w:vertAlign w:val="subscript"/>
          <w:lang w:val="uk-UA"/>
        </w:rPr>
        <w:t>isobutirate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– Re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(i-C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76849">
        <w:rPr>
          <w:rFonts w:ascii="Times New Roman" w:hAnsi="Times New Roman"/>
          <w:sz w:val="28"/>
          <w:szCs w:val="28"/>
          <w:lang w:val="uk-UA"/>
        </w:rPr>
        <w:t>H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 w:rsidRPr="00B76849">
        <w:rPr>
          <w:rFonts w:ascii="Times New Roman" w:hAnsi="Times New Roman"/>
          <w:sz w:val="28"/>
          <w:szCs w:val="28"/>
          <w:lang w:val="uk-UA"/>
        </w:rPr>
        <w:t>COO)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Cl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B76849">
        <w:rPr>
          <w:rFonts w:ascii="Times New Roman" w:hAnsi="Times New Roman"/>
          <w:sz w:val="28"/>
          <w:szCs w:val="28"/>
          <w:lang w:val="uk-UA"/>
        </w:rPr>
        <w:t>∙2(CH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76849">
        <w:rPr>
          <w:rFonts w:ascii="Times New Roman" w:hAnsi="Times New Roman"/>
          <w:sz w:val="28"/>
          <w:szCs w:val="28"/>
          <w:lang w:val="uk-UA"/>
        </w:rPr>
        <w:t>)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SO∙2Н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О</w:t>
      </w:r>
      <w:r w:rsidRPr="00B7684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диакватетрахлоро-ди-μ-ізобутиратодиреній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(III); Re</w:t>
      </w:r>
      <w:r w:rsidRPr="00B76849">
        <w:rPr>
          <w:rFonts w:ascii="Times New Roman" w:hAnsi="Times New Roman"/>
          <w:i/>
          <w:sz w:val="28"/>
          <w:szCs w:val="28"/>
          <w:vertAlign w:val="subscript"/>
          <w:lang w:val="uk-UA"/>
        </w:rPr>
        <w:t>cis-</w:t>
      </w:r>
      <w:proofErr w:type="spellStart"/>
      <w:r w:rsidRPr="00B76849">
        <w:rPr>
          <w:rFonts w:ascii="Times New Roman" w:hAnsi="Times New Roman"/>
          <w:i/>
          <w:sz w:val="28"/>
          <w:szCs w:val="28"/>
          <w:vertAlign w:val="subscript"/>
          <w:lang w:val="uk-UA"/>
        </w:rPr>
        <w:t>pivalate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– Re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((CH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76849">
        <w:rPr>
          <w:rFonts w:ascii="Times New Roman" w:hAnsi="Times New Roman"/>
          <w:sz w:val="28"/>
          <w:szCs w:val="28"/>
          <w:lang w:val="uk-UA"/>
        </w:rPr>
        <w:t>)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76849">
        <w:rPr>
          <w:rFonts w:ascii="Times New Roman" w:hAnsi="Times New Roman"/>
          <w:sz w:val="28"/>
          <w:szCs w:val="28"/>
          <w:lang w:val="uk-UA"/>
        </w:rPr>
        <w:t>CCOO)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Cl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B76849">
        <w:rPr>
          <w:rFonts w:ascii="Times New Roman" w:hAnsi="Times New Roman"/>
          <w:sz w:val="28"/>
          <w:szCs w:val="28"/>
          <w:lang w:val="uk-UA"/>
        </w:rPr>
        <w:t>∙2(CH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76849">
        <w:rPr>
          <w:rFonts w:ascii="Times New Roman" w:hAnsi="Times New Roman"/>
          <w:sz w:val="28"/>
          <w:szCs w:val="28"/>
          <w:lang w:val="uk-UA"/>
        </w:rPr>
        <w:t>)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SO∙2Н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О</w:t>
      </w:r>
      <w:r w:rsidRPr="00B7684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диакватетрахлоро-ди-μ-півалатодиреній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(III)</w:t>
      </w:r>
      <w:r w:rsidR="003C7E4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E4310" w:rsidRPr="00B76849">
        <w:rPr>
          <w:rFonts w:ascii="Times New Roman" w:hAnsi="Times New Roman"/>
          <w:sz w:val="28"/>
          <w:szCs w:val="28"/>
          <w:lang w:val="uk-UA"/>
        </w:rPr>
        <w:t>Re</w:t>
      </w:r>
      <w:proofErr w:type="spellEnd"/>
      <w:r w:rsidR="00BE4310">
        <w:rPr>
          <w:rFonts w:ascii="Times New Roman" w:hAnsi="Times New Roman"/>
          <w:i/>
          <w:sz w:val="28"/>
          <w:szCs w:val="28"/>
          <w:vertAlign w:val="subscript"/>
          <w:lang w:val="en-US"/>
        </w:rPr>
        <w:t>Ad</w:t>
      </w:r>
      <w:r w:rsidR="00BE4310" w:rsidRPr="00BE4310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="00BE4310" w:rsidRPr="00BE4310">
        <w:rPr>
          <w:rFonts w:ascii="Times New Roman" w:hAnsi="Times New Roman"/>
          <w:i/>
          <w:sz w:val="28"/>
          <w:szCs w:val="28"/>
          <w:lang w:val="uk-UA"/>
        </w:rPr>
        <w:t xml:space="preserve"> –</w:t>
      </w:r>
      <w:r w:rsidR="00BE4310" w:rsidRPr="00B7684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біс-диметилсульфоксидо-цис-тетрахлоро-ди-µ-адамантилдикарбоксилатодиреній(III) – Re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(HOOCC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10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H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14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COO)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Cl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·2CH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 xml:space="preserve">CN; </w:t>
      </w:r>
      <w:proofErr w:type="spellStart"/>
      <w:r w:rsidR="00BE4310" w:rsidRPr="00B76849">
        <w:rPr>
          <w:rFonts w:ascii="Times New Roman" w:hAnsi="Times New Roman"/>
          <w:sz w:val="28"/>
          <w:szCs w:val="28"/>
          <w:lang w:val="uk-UA"/>
        </w:rPr>
        <w:t>Re</w:t>
      </w:r>
      <w:proofErr w:type="spellEnd"/>
      <w:r w:rsidR="00BE4310">
        <w:rPr>
          <w:rFonts w:ascii="Times New Roman" w:hAnsi="Times New Roman"/>
          <w:i/>
          <w:sz w:val="28"/>
          <w:szCs w:val="28"/>
          <w:vertAlign w:val="subscript"/>
          <w:lang w:val="en-US"/>
        </w:rPr>
        <w:t>Ad</w:t>
      </w:r>
      <w:r w:rsidR="00BE4310" w:rsidRPr="00BE4310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="00BE4310" w:rsidRPr="00BE4310">
        <w:rPr>
          <w:rFonts w:ascii="Times New Roman" w:hAnsi="Times New Roman"/>
          <w:i/>
          <w:sz w:val="28"/>
          <w:szCs w:val="28"/>
          <w:lang w:val="uk-UA"/>
        </w:rPr>
        <w:t xml:space="preserve"> –</w:t>
      </w:r>
      <w:r w:rsidR="00BE4310" w:rsidRPr="00BE4310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 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біс-диметилсульфоксидо-цис-тетрахлоро-ди-µ-аміноадамантанатодиреній(III) – Re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((NH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C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10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H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14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COO)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Cl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3C7E49" w:rsidRPr="003C7E49">
        <w:rPr>
          <w:rFonts w:ascii="Times New Roman" w:hAnsi="Times New Roman"/>
          <w:sz w:val="28"/>
          <w:szCs w:val="28"/>
          <w:lang w:val="uk-UA"/>
        </w:rPr>
        <w:t>·2DMSO)Cl</w:t>
      </w:r>
      <w:r w:rsidR="003C7E49" w:rsidRPr="00BE431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76849">
        <w:rPr>
          <w:rFonts w:ascii="Times New Roman" w:hAnsi="Times New Roman"/>
          <w:sz w:val="28"/>
          <w:szCs w:val="28"/>
          <w:lang w:val="uk-UA"/>
        </w:rPr>
        <w:t>.</w:t>
      </w:r>
    </w:p>
    <w:p w:rsidR="00B76849" w:rsidRPr="00B76849" w:rsidRDefault="00B76849" w:rsidP="008F729B">
      <w:pPr>
        <w:keepLines/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AEB253" wp14:editId="79FC0A2B">
            <wp:extent cx="2390775" cy="1059001"/>
            <wp:effectExtent l="0" t="0" r="0" b="825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49" w:rsidRPr="00B76849" w:rsidRDefault="00B76849" w:rsidP="00B76849">
      <w:pPr>
        <w:keepLines/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76849">
        <w:rPr>
          <w:rFonts w:ascii="Times New Roman" w:hAnsi="Times New Roman"/>
          <w:i/>
          <w:sz w:val="24"/>
          <w:szCs w:val="24"/>
          <w:lang w:val="uk-UA"/>
        </w:rPr>
        <w:t>Рис. 1. Типи досліджуваних комплексних сполук ренію з органічними лігандами.</w:t>
      </w:r>
    </w:p>
    <w:p w:rsidR="00B76849" w:rsidRPr="003C7E49" w:rsidRDefault="00B76849" w:rsidP="00B76849">
      <w:pPr>
        <w:keepLines/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76849">
        <w:rPr>
          <w:rFonts w:ascii="Times New Roman" w:hAnsi="Times New Roman"/>
          <w:i/>
          <w:sz w:val="24"/>
          <w:szCs w:val="24"/>
          <w:lang w:val="uk-UA"/>
        </w:rPr>
        <w:t xml:space="preserve">Примітки: І – </w:t>
      </w:r>
      <w:proofErr w:type="spellStart"/>
      <w:r w:rsidRPr="00B76849">
        <w:rPr>
          <w:rFonts w:ascii="Times New Roman" w:hAnsi="Times New Roman"/>
          <w:i/>
          <w:sz w:val="24"/>
          <w:szCs w:val="24"/>
          <w:lang w:val="uk-UA"/>
        </w:rPr>
        <w:t>тетракарбоксилати</w:t>
      </w:r>
      <w:proofErr w:type="spellEnd"/>
      <w:r w:rsidRPr="00B76849">
        <w:rPr>
          <w:rFonts w:ascii="Times New Roman" w:hAnsi="Times New Roman"/>
          <w:i/>
          <w:sz w:val="24"/>
          <w:szCs w:val="24"/>
          <w:lang w:val="uk-UA"/>
        </w:rPr>
        <w:t xml:space="preserve"> (комплекс Re</w:t>
      </w:r>
      <w:r w:rsidRPr="00B76849">
        <w:rPr>
          <w:rFonts w:ascii="Times New Roman" w:hAnsi="Times New Roman"/>
          <w:i/>
          <w:sz w:val="24"/>
          <w:szCs w:val="24"/>
          <w:vertAlign w:val="subscript"/>
          <w:lang w:val="uk-UA"/>
        </w:rPr>
        <w:t>tetra-isobutirate</w:t>
      </w:r>
      <w:r w:rsidRPr="00B76849">
        <w:rPr>
          <w:rFonts w:ascii="Times New Roman" w:hAnsi="Times New Roman"/>
          <w:i/>
          <w:sz w:val="24"/>
          <w:szCs w:val="24"/>
          <w:lang w:val="uk-UA"/>
        </w:rPr>
        <w:t xml:space="preserve">);ІІ – </w:t>
      </w:r>
      <w:proofErr w:type="spellStart"/>
      <w:r w:rsidRPr="00B76849">
        <w:rPr>
          <w:rFonts w:ascii="Times New Roman" w:hAnsi="Times New Roman"/>
          <w:i/>
          <w:sz w:val="24"/>
          <w:szCs w:val="24"/>
          <w:lang w:val="uk-UA"/>
        </w:rPr>
        <w:t>цис-дикарбоксилати</w:t>
      </w:r>
      <w:proofErr w:type="spellEnd"/>
      <w:r w:rsidRPr="00B76849">
        <w:rPr>
          <w:rFonts w:ascii="Times New Roman" w:hAnsi="Times New Roman"/>
          <w:i/>
          <w:sz w:val="24"/>
          <w:szCs w:val="24"/>
          <w:lang w:val="uk-UA"/>
        </w:rPr>
        <w:t xml:space="preserve"> (комплекси Re</w:t>
      </w:r>
      <w:r w:rsidRPr="00B76849">
        <w:rPr>
          <w:rFonts w:ascii="Times New Roman" w:hAnsi="Times New Roman"/>
          <w:i/>
          <w:sz w:val="24"/>
          <w:szCs w:val="24"/>
          <w:vertAlign w:val="subscript"/>
          <w:lang w:val="uk-UA"/>
        </w:rPr>
        <w:t>cis-</w:t>
      </w:r>
      <w:proofErr w:type="spellStart"/>
      <w:r w:rsidRPr="00B76849">
        <w:rPr>
          <w:rFonts w:ascii="Times New Roman" w:hAnsi="Times New Roman"/>
          <w:i/>
          <w:sz w:val="24"/>
          <w:szCs w:val="24"/>
          <w:vertAlign w:val="subscript"/>
          <w:lang w:val="uk-UA"/>
        </w:rPr>
        <w:t>isobutirate</w:t>
      </w:r>
      <w:proofErr w:type="spellEnd"/>
      <w:r w:rsidRPr="00B76849">
        <w:rPr>
          <w:rFonts w:ascii="Times New Roman" w:hAnsi="Times New Roman"/>
          <w:i/>
          <w:sz w:val="24"/>
          <w:szCs w:val="24"/>
          <w:lang w:val="uk-UA"/>
        </w:rPr>
        <w:t xml:space="preserve"> і Re</w:t>
      </w:r>
      <w:r w:rsidRPr="00B76849">
        <w:rPr>
          <w:rFonts w:ascii="Times New Roman" w:hAnsi="Times New Roman"/>
          <w:i/>
          <w:sz w:val="24"/>
          <w:szCs w:val="24"/>
          <w:vertAlign w:val="subscript"/>
          <w:lang w:val="uk-UA"/>
        </w:rPr>
        <w:t>cis-</w:t>
      </w:r>
      <w:proofErr w:type="spellStart"/>
      <w:r w:rsidRPr="00B76849">
        <w:rPr>
          <w:rFonts w:ascii="Times New Roman" w:hAnsi="Times New Roman"/>
          <w:i/>
          <w:sz w:val="24"/>
          <w:szCs w:val="24"/>
          <w:vertAlign w:val="subscript"/>
          <w:lang w:val="uk-UA"/>
        </w:rPr>
        <w:t>pivalate</w:t>
      </w:r>
      <w:proofErr w:type="spellEnd"/>
      <w:r w:rsidRPr="00B76849">
        <w:rPr>
          <w:rFonts w:ascii="Times New Roman" w:hAnsi="Times New Roman"/>
          <w:i/>
          <w:sz w:val="24"/>
          <w:szCs w:val="24"/>
          <w:lang w:val="uk-UA"/>
        </w:rPr>
        <w:t xml:space="preserve">)(X = </w:t>
      </w:r>
      <w:proofErr w:type="spellStart"/>
      <w:r w:rsidRPr="00B76849">
        <w:rPr>
          <w:rFonts w:ascii="Times New Roman" w:hAnsi="Times New Roman"/>
          <w:i/>
          <w:sz w:val="24"/>
          <w:szCs w:val="24"/>
          <w:lang w:val="uk-UA"/>
        </w:rPr>
        <w:t>Cl</w:t>
      </w:r>
      <w:proofErr w:type="spellEnd"/>
      <w:r w:rsidRPr="00B76849">
        <w:rPr>
          <w:rFonts w:ascii="Times New Roman" w:hAnsi="Times New Roman"/>
          <w:i/>
          <w:sz w:val="24"/>
          <w:szCs w:val="24"/>
          <w:lang w:val="uk-UA"/>
        </w:rPr>
        <w:t>, R = i-C</w:t>
      </w:r>
      <w:r w:rsidRPr="00B76849">
        <w:rPr>
          <w:rFonts w:ascii="Times New Roman" w:hAnsi="Times New Roman"/>
          <w:i/>
          <w:sz w:val="24"/>
          <w:szCs w:val="24"/>
          <w:vertAlign w:val="subscript"/>
          <w:lang w:val="uk-UA"/>
        </w:rPr>
        <w:t>3</w:t>
      </w:r>
      <w:r w:rsidRPr="00B76849">
        <w:rPr>
          <w:rFonts w:ascii="Times New Roman" w:hAnsi="Times New Roman"/>
          <w:i/>
          <w:sz w:val="24"/>
          <w:szCs w:val="24"/>
          <w:lang w:val="uk-UA"/>
        </w:rPr>
        <w:t>H</w:t>
      </w:r>
      <w:r w:rsidRPr="00B76849">
        <w:rPr>
          <w:rFonts w:ascii="Times New Roman" w:hAnsi="Times New Roman"/>
          <w:i/>
          <w:sz w:val="24"/>
          <w:szCs w:val="24"/>
          <w:vertAlign w:val="subscript"/>
          <w:lang w:val="uk-UA"/>
        </w:rPr>
        <w:t>7</w:t>
      </w:r>
      <w:r w:rsidRPr="00B76849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proofErr w:type="spellStart"/>
      <w:r w:rsidRPr="00B76849">
        <w:rPr>
          <w:rFonts w:ascii="Times New Roman" w:hAnsi="Times New Roman"/>
          <w:i/>
          <w:sz w:val="24"/>
          <w:szCs w:val="24"/>
          <w:lang w:val="uk-UA"/>
        </w:rPr>
        <w:t>ізобутил</w:t>
      </w:r>
      <w:proofErr w:type="spellEnd"/>
      <w:r w:rsidRPr="00B76849">
        <w:rPr>
          <w:rFonts w:ascii="Times New Roman" w:hAnsi="Times New Roman"/>
          <w:i/>
          <w:sz w:val="24"/>
          <w:szCs w:val="24"/>
          <w:lang w:val="uk-UA"/>
        </w:rPr>
        <w:t>; (CH</w:t>
      </w:r>
      <w:r w:rsidRPr="00B76849">
        <w:rPr>
          <w:rFonts w:ascii="Times New Roman" w:hAnsi="Times New Roman"/>
          <w:i/>
          <w:sz w:val="24"/>
          <w:szCs w:val="24"/>
          <w:vertAlign w:val="subscript"/>
          <w:lang w:val="uk-UA"/>
        </w:rPr>
        <w:t>3</w:t>
      </w:r>
      <w:r w:rsidRPr="00B76849">
        <w:rPr>
          <w:rFonts w:ascii="Times New Roman" w:hAnsi="Times New Roman"/>
          <w:i/>
          <w:sz w:val="24"/>
          <w:szCs w:val="24"/>
          <w:lang w:val="uk-UA"/>
        </w:rPr>
        <w:t>)</w:t>
      </w:r>
      <w:smartTag w:uri="urn:schemas-microsoft-com:office:smarttags" w:element="metricconverter">
        <w:smartTagPr>
          <w:attr w:name="ProductID" w:val="3C"/>
        </w:smartTagPr>
        <w:r w:rsidRPr="00B76849">
          <w:rPr>
            <w:rFonts w:ascii="Times New Roman" w:hAnsi="Times New Roman"/>
            <w:i/>
            <w:sz w:val="24"/>
            <w:szCs w:val="24"/>
            <w:vertAlign w:val="subscript"/>
            <w:lang w:val="uk-UA"/>
          </w:rPr>
          <w:t>3</w:t>
        </w:r>
        <w:r w:rsidRPr="00B76849">
          <w:rPr>
            <w:rFonts w:ascii="Times New Roman" w:hAnsi="Times New Roman"/>
            <w:i/>
            <w:sz w:val="24"/>
            <w:szCs w:val="24"/>
            <w:lang w:val="uk-UA"/>
          </w:rPr>
          <w:t>C</w:t>
        </w:r>
      </w:smartTag>
      <w:r w:rsidRPr="00B76849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proofErr w:type="spellStart"/>
      <w:r w:rsidRPr="00B76849">
        <w:rPr>
          <w:rFonts w:ascii="Times New Roman" w:hAnsi="Times New Roman"/>
          <w:i/>
          <w:sz w:val="24"/>
          <w:szCs w:val="24"/>
          <w:lang w:val="uk-UA"/>
        </w:rPr>
        <w:t>піваліл</w:t>
      </w:r>
      <w:proofErr w:type="spellEnd"/>
      <w:r w:rsidRPr="003C7E49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  <w:r w:rsidR="003C7E49" w:rsidRPr="003C7E49">
        <w:rPr>
          <w:rFonts w:ascii="Times New Roman" w:hAnsi="Times New Roman"/>
          <w:i/>
          <w:kern w:val="24"/>
          <w:sz w:val="24"/>
          <w:szCs w:val="24"/>
          <w:lang w:val="en-US"/>
        </w:rPr>
        <w:t>C</w:t>
      </w:r>
      <w:r w:rsidR="003C7E49" w:rsidRPr="003C7E49">
        <w:rPr>
          <w:rFonts w:ascii="Times New Roman" w:hAnsi="Times New Roman"/>
          <w:i/>
          <w:kern w:val="24"/>
          <w:sz w:val="24"/>
          <w:szCs w:val="24"/>
          <w:vertAlign w:val="subscript"/>
          <w:lang w:val="uk-UA"/>
        </w:rPr>
        <w:t>10</w:t>
      </w:r>
      <w:r w:rsidR="003C7E49" w:rsidRPr="003C7E49">
        <w:rPr>
          <w:rFonts w:ascii="Times New Roman" w:hAnsi="Times New Roman"/>
          <w:i/>
          <w:kern w:val="24"/>
          <w:sz w:val="24"/>
          <w:szCs w:val="24"/>
          <w:lang w:val="en-US"/>
        </w:rPr>
        <w:t>H</w:t>
      </w:r>
      <w:r w:rsidR="003C7E49" w:rsidRPr="003C7E49">
        <w:rPr>
          <w:rFonts w:ascii="Times New Roman" w:hAnsi="Times New Roman"/>
          <w:i/>
          <w:kern w:val="24"/>
          <w:sz w:val="24"/>
          <w:szCs w:val="24"/>
          <w:vertAlign w:val="subscript"/>
          <w:lang w:val="uk-UA"/>
        </w:rPr>
        <w:t>14</w:t>
      </w:r>
      <w:r w:rsidR="003C7E49" w:rsidRPr="003C7E49">
        <w:rPr>
          <w:rFonts w:ascii="Times New Roman" w:hAnsi="Times New Roman"/>
          <w:i/>
          <w:sz w:val="24"/>
          <w:szCs w:val="24"/>
          <w:lang w:val="uk-UA" w:eastAsia="ru-RU"/>
        </w:rPr>
        <w:t>COO</w:t>
      </w:r>
      <w:r w:rsidR="003C7E49" w:rsidRPr="003C7E49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proofErr w:type="spellStart"/>
      <w:r w:rsidR="003C7E49" w:rsidRPr="003C7E49">
        <w:rPr>
          <w:rFonts w:ascii="Times New Roman" w:hAnsi="Times New Roman"/>
          <w:i/>
          <w:sz w:val="24"/>
          <w:szCs w:val="24"/>
          <w:lang w:val="uk-UA"/>
        </w:rPr>
        <w:t>адамантил</w:t>
      </w:r>
      <w:proofErr w:type="spellEnd"/>
      <w:r w:rsidR="003C7E49" w:rsidRPr="003C7E49">
        <w:rPr>
          <w:rFonts w:ascii="Times New Roman" w:hAnsi="Times New Roman"/>
          <w:i/>
          <w:sz w:val="24"/>
          <w:szCs w:val="24"/>
          <w:lang w:val="uk-UA"/>
        </w:rPr>
        <w:t xml:space="preserve"> (</w:t>
      </w:r>
      <w:r w:rsidRPr="003C7E49">
        <w:rPr>
          <w:rFonts w:ascii="Times New Roman" w:hAnsi="Times New Roman"/>
          <w:i/>
          <w:sz w:val="24"/>
          <w:szCs w:val="24"/>
          <w:lang w:val="uk-UA"/>
        </w:rPr>
        <w:t>L – Н</w:t>
      </w:r>
      <w:r w:rsidRPr="003C7E49">
        <w:rPr>
          <w:rFonts w:ascii="Times New Roman" w:hAnsi="Times New Roman"/>
          <w:i/>
          <w:sz w:val="24"/>
          <w:szCs w:val="24"/>
          <w:vertAlign w:val="subscript"/>
          <w:lang w:val="uk-UA"/>
        </w:rPr>
        <w:t>2</w:t>
      </w:r>
      <w:r w:rsidRPr="003C7E49">
        <w:rPr>
          <w:rFonts w:ascii="Times New Roman" w:hAnsi="Times New Roman"/>
          <w:i/>
          <w:sz w:val="24"/>
          <w:szCs w:val="24"/>
          <w:lang w:val="uk-UA"/>
        </w:rPr>
        <w:t>О).</w:t>
      </w:r>
    </w:p>
    <w:p w:rsidR="00B76849" w:rsidRDefault="00B76849" w:rsidP="00B76849">
      <w:pPr>
        <w:keepLines/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6849" w:rsidRDefault="00B76849" w:rsidP="00B76849">
      <w:pPr>
        <w:keepLines/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Дослідження проводили на щурах-самицях лінії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Вістар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вагою 100-</w:t>
      </w:r>
      <w:smartTag w:uri="urn:schemas-microsoft-com:office:smarttags" w:element="metricconverter">
        <w:smartTagPr>
          <w:attr w:name="ProductID" w:val="150 г"/>
        </w:smartTagPr>
        <w:r w:rsidRPr="00B76849">
          <w:rPr>
            <w:rFonts w:ascii="Times New Roman" w:hAnsi="Times New Roman"/>
            <w:sz w:val="28"/>
            <w:szCs w:val="28"/>
            <w:lang w:val="uk-UA"/>
          </w:rPr>
          <w:t>150 г</w:t>
        </w:r>
      </w:smartTag>
      <w:r w:rsidRPr="00B76849">
        <w:rPr>
          <w:rFonts w:ascii="Times New Roman" w:hAnsi="Times New Roman"/>
          <w:sz w:val="28"/>
          <w:szCs w:val="28"/>
          <w:lang w:val="uk-UA"/>
        </w:rPr>
        <w:t xml:space="preserve">, яких утримували в стандартних умовах віварію. Маніпуляції з тваринами проводилися відповідно до правил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„Європейської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конвенції захисту хребетних тварин, які використовуються для експериментальних та інших наукових цілей”. Пухлинний ріст моделювали шляхом трансплантації здоровим щурам 20%-ї суспензії клітин карциноми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Герена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(Т8) у фізіологічному розчині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Івчук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В. В., 2011). Протипухлинну систему Реній-Платина вводили двома способами. Перший – [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Re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]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nl+cPt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– внутрішньочеревинне десятиразове введення за схемою антиоксидантної терапії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наноліпосомній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формі ([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Re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]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nl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) на 3-й день після трансплантації пухлини з 48-годинним інтервалом впродовж 21 доби </w:t>
      </w:r>
      <w:r w:rsidRPr="00B76849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Мeerson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 F. Z., 1983) з одноразовим введенням розчину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на 9-у добу після трансплантації пухлини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Taylo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S. K., 2003). Другий – [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Re+cPt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]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nl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– введення за схемою антиоксидантної терапії змішаних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наноліпосом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навантажених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протипухлиною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системою Реній-Платина з молярним співвідношенням компонентів 1:4 ([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Re+cPt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]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nl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). Окреме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Ренію,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cPt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) і його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наноліпосомної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форми ([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cPt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]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nl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) проводили відповідно до цих двох схем. Експериментальна доза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становила 28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мкМ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/кг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Taylo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S. K., 2003), а ренієвої сполуки – 7×10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мкМ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/кг. Контрольну групу становили тварини, яким вводили пусті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наноліпосоми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аналогічним способом у кількості 35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мМ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/кг.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Наноліпосоми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>, навантажені сполуками Ренію та Платини, виготовляли за (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ru-RU"/>
        </w:rPr>
        <w:t>Ran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ru-RU"/>
        </w:rPr>
        <w:t xml:space="preserve"> Y., 2003). </w:t>
      </w:r>
    </w:p>
    <w:p w:rsidR="003C7E49" w:rsidRPr="00B76849" w:rsidRDefault="003C7E49" w:rsidP="00B76849">
      <w:pPr>
        <w:keepLines/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 експерименті з гострою інтоксикацією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тетрахлорметаном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дослідні сполуки вводили за схемою, аналогічною моделі пухлинного росту. </w:t>
      </w:r>
      <w:r w:rsidRPr="003C7E49">
        <w:rPr>
          <w:rFonts w:ascii="Times New Roman" w:hAnsi="Times New Roman"/>
          <w:sz w:val="28"/>
          <w:szCs w:val="28"/>
          <w:lang w:val="uk-UA" w:eastAsia="ru-RU"/>
        </w:rPr>
        <w:t xml:space="preserve">В останню добу експерименту ініціювали токсичну нефропатію шляхом введення 50% розчину </w:t>
      </w:r>
      <w:proofErr w:type="spellStart"/>
      <w:r w:rsidRPr="003C7E49">
        <w:rPr>
          <w:rFonts w:ascii="Times New Roman" w:hAnsi="Times New Roman"/>
          <w:sz w:val="28"/>
          <w:szCs w:val="28"/>
          <w:lang w:val="uk-UA" w:eastAsia="ru-RU"/>
        </w:rPr>
        <w:t>тетрахлорметану</w:t>
      </w:r>
      <w:proofErr w:type="spellEnd"/>
      <w:r w:rsidRPr="003C7E49">
        <w:rPr>
          <w:rFonts w:ascii="Times New Roman" w:hAnsi="Times New Roman"/>
          <w:sz w:val="28"/>
          <w:szCs w:val="28"/>
          <w:lang w:val="uk-UA" w:eastAsia="ru-RU"/>
        </w:rPr>
        <w:t xml:space="preserve"> (ТХМ, СCl4) у оливковій олії в дозі 5 </w:t>
      </w:r>
      <w:proofErr w:type="spellStart"/>
      <w:r w:rsidRPr="003C7E49">
        <w:rPr>
          <w:rFonts w:ascii="Times New Roman" w:hAnsi="Times New Roman"/>
          <w:sz w:val="28"/>
          <w:szCs w:val="28"/>
          <w:lang w:val="uk-UA" w:eastAsia="ru-RU"/>
        </w:rPr>
        <w:t>мл</w:t>
      </w:r>
      <w:proofErr w:type="spellEnd"/>
      <w:r w:rsidRPr="003C7E49">
        <w:rPr>
          <w:rFonts w:ascii="Times New Roman" w:hAnsi="Times New Roman"/>
          <w:sz w:val="28"/>
          <w:szCs w:val="28"/>
          <w:lang w:val="uk-UA" w:eastAsia="ru-RU"/>
        </w:rPr>
        <w:t xml:space="preserve">/кг. Тварин </w:t>
      </w:r>
      <w:proofErr w:type="spellStart"/>
      <w:r w:rsidRPr="003C7E49">
        <w:rPr>
          <w:rFonts w:ascii="Times New Roman" w:hAnsi="Times New Roman"/>
          <w:sz w:val="28"/>
          <w:szCs w:val="28"/>
          <w:lang w:val="uk-UA" w:eastAsia="ru-RU"/>
        </w:rPr>
        <w:t>декапітували</w:t>
      </w:r>
      <w:proofErr w:type="spellEnd"/>
      <w:r w:rsidRPr="003C7E49">
        <w:rPr>
          <w:rFonts w:ascii="Times New Roman" w:hAnsi="Times New Roman"/>
          <w:sz w:val="28"/>
          <w:szCs w:val="28"/>
          <w:lang w:val="uk-UA" w:eastAsia="ru-RU"/>
        </w:rPr>
        <w:t xml:space="preserve"> через 24 години після введення ТХМ.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76849" w:rsidRPr="00B76849" w:rsidRDefault="00B76849" w:rsidP="00B76849">
      <w:pPr>
        <w:spacing w:after="0" w:line="240" w:lineRule="auto"/>
        <w:ind w:firstLine="90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Перед </w:t>
      </w:r>
      <w:proofErr w:type="spellStart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декапітацією</w:t>
      </w:r>
      <w:proofErr w:type="spellEnd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у тварин проводили збір сечі в умовах індукованого діурезу з використанням 1% водного навантаження за допомогою сталевого зонду з оливою (</w:t>
      </w:r>
      <w:proofErr w:type="spellStart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Берхин</w:t>
      </w:r>
      <w:proofErr w:type="spellEnd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Е. Б. 1972). Свіжозібрану сечу центрифугували і впродовж наступних 4-х годин проводили аналіз зразків. </w:t>
      </w:r>
      <w:proofErr w:type="spellStart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Декапітацію</w:t>
      </w:r>
      <w:proofErr w:type="spellEnd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тварин здійснювали під </w:t>
      </w:r>
      <w:proofErr w:type="spellStart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етерним</w:t>
      </w:r>
      <w:proofErr w:type="spellEnd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наркозом відповідно до правил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„</w:t>
      </w:r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Європейської</w:t>
      </w:r>
      <w:proofErr w:type="spellEnd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конвенції захисту хребетних тварин, використаних в експериментальних та інших наукових цілях</w:t>
      </w:r>
      <w:r w:rsidRPr="00B76849">
        <w:rPr>
          <w:rFonts w:ascii="Times New Roman" w:hAnsi="Times New Roman"/>
          <w:sz w:val="28"/>
          <w:szCs w:val="28"/>
          <w:lang w:val="uk-UA"/>
        </w:rPr>
        <w:t>”</w:t>
      </w:r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. Під час </w:t>
      </w:r>
      <w:proofErr w:type="spellStart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декапітації</w:t>
      </w:r>
      <w:proofErr w:type="spellEnd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збирали кров у пробірки з гепарином, після цього у тварин видаляли обидві нирки. Нирки промивали від залишків крові охолодженим фізіологічним розчином і зважували. У </w:t>
      </w:r>
      <w:smartTag w:uri="urn:schemas-microsoft-com:office:smarttags" w:element="metricconverter">
        <w:smartTagPr>
          <w:attr w:name="ProductID" w:val="0,1 М"/>
        </w:smartTagPr>
        <w:r w:rsidRPr="00B76849">
          <w:rPr>
            <w:rFonts w:ascii="Times New Roman" w:hAnsi="Times New Roman"/>
            <w:sz w:val="28"/>
            <w:szCs w:val="28"/>
            <w:lang w:val="uk-UA"/>
          </w:rPr>
          <w:t>0,1 М</w:t>
        </w:r>
      </w:smartTag>
      <w:r w:rsidRPr="00B76849">
        <w:rPr>
          <w:rFonts w:ascii="Times New Roman" w:hAnsi="Times New Roman"/>
          <w:sz w:val="28"/>
          <w:szCs w:val="28"/>
          <w:lang w:val="uk-UA"/>
        </w:rPr>
        <w:t xml:space="preserve"> фосфатному буфері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7,4) готували 10%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гомогенат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нирок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Yao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X., 2007). Концентрацію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загального білку та активність лактатдегідрогенази (ЛДГ, КФ.1.1.1.27) 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γ-глутамілтранспептидази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(ГТП, КФ.2.3.2.2) визначали в сечі та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нирок з використанням стандартних наборів реактивів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Філісит-діагностика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Україна). Концентрацію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представляли 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ммоль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/л проби, концентрацію білку в сечі у мг/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проби, зібраної впродовж 2 год. Активність в сечі ЛДГ і ГТП представляли відповідно в умовних одиницях в </w:t>
      </w:r>
      <w:smartTag w:uri="urn:schemas-microsoft-com:office:smarttags" w:element="metricconverter">
        <w:smartTagPr>
          <w:attr w:name="ProductID" w:val="1 л"/>
        </w:smartTagPr>
        <w:r w:rsidRPr="00B76849">
          <w:rPr>
            <w:rFonts w:ascii="Times New Roman" w:hAnsi="Times New Roman"/>
            <w:sz w:val="28"/>
            <w:szCs w:val="28"/>
            <w:lang w:val="uk-UA"/>
          </w:rPr>
          <w:t>1 л</w:t>
        </w:r>
      </w:smartTag>
      <w:r w:rsidRPr="00B76849">
        <w:rPr>
          <w:rFonts w:ascii="Times New Roman" w:hAnsi="Times New Roman"/>
          <w:sz w:val="28"/>
          <w:szCs w:val="28"/>
          <w:lang w:val="uk-UA"/>
        </w:rPr>
        <w:t xml:space="preserve"> дослідної проби (Од/л), а в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нирок в умовних одиницях на 1 мг білку у дослідній пробі (Од/мг білку). Кліренс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C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Cr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) і відносну реабсорбції води за допомогою методик, що були описані у роботах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Папаян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А. В., 2004). Визначення концентрації низькомолекулярних тіолів,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тіолових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дисульфідних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та карбонільних груп білків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Орехович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В. Н., 1977) виконували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спектрофотометрично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Гістологічні дослідження нирок проводили з використанням світлового мікроскопа </w:t>
      </w:r>
      <w:proofErr w:type="spellStart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Leica</w:t>
      </w:r>
      <w:proofErr w:type="spellEnd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CME (Німеччина) за допомогою фарбування зрізів тканин гематоксиліном та еозином за загальновідомими методами. Статистичну обробку отриманих даних проводили за допомогою методів варіаційної статистики з використанням програми </w:t>
      </w:r>
      <w:r w:rsidRPr="00B76849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SPSS v13 </w:t>
      </w:r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та стандартного пакету комп’ютерних програм MS Excel</w:t>
      </w:r>
      <w:r w:rsidRPr="00B76849">
        <w:rPr>
          <w:rFonts w:ascii="Times New Roman" w:hAnsi="Times New Roman"/>
          <w:i/>
          <w:spacing w:val="-4"/>
          <w:sz w:val="28"/>
          <w:szCs w:val="28"/>
          <w:lang w:val="uk-UA"/>
        </w:rPr>
        <w:t>.</w:t>
      </w:r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Достовірність відмінностей між групами даних розраховували за допомогою обчислення непараметричного </w:t>
      </w:r>
      <w:r w:rsidRPr="00B76849">
        <w:rPr>
          <w:rFonts w:ascii="Times New Roman" w:hAnsi="Times New Roman"/>
          <w:i/>
          <w:spacing w:val="-4"/>
          <w:sz w:val="28"/>
          <w:szCs w:val="28"/>
          <w:lang w:val="uk-UA"/>
        </w:rPr>
        <w:t>U-</w:t>
      </w:r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критерію </w:t>
      </w:r>
      <w:proofErr w:type="spellStart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Манна-Уітні</w:t>
      </w:r>
      <w:proofErr w:type="spellEnd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Pr="00B76849">
        <w:rPr>
          <w:rFonts w:ascii="Times New Roman" w:hAnsi="Times New Roman"/>
          <w:sz w:val="28"/>
          <w:szCs w:val="28"/>
          <w:lang w:val="uk-UA"/>
        </w:rPr>
        <w:t>Оцінку взаємозв’язків між біохімічними показниками</w:t>
      </w:r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проводили за допомогою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кореляційного аналізу за критерієм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Спірмана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r</w:t>
      </w:r>
      <w:r w:rsidRPr="00B76849">
        <w:rPr>
          <w:rFonts w:ascii="Times New Roman" w:hAnsi="Times New Roman"/>
          <w:sz w:val="28"/>
          <w:szCs w:val="28"/>
          <w:vertAlign w:val="subscript"/>
          <w:lang w:val="uk-UA"/>
        </w:rPr>
        <w:t>s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).</w:t>
      </w:r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Результати при Р &lt; 0,05 вважалися достовірними (</w:t>
      </w:r>
      <w:proofErr w:type="spellStart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>Лакин</w:t>
      </w:r>
      <w:proofErr w:type="spellEnd"/>
      <w:r w:rsidRPr="00B76849">
        <w:rPr>
          <w:rFonts w:ascii="Times New Roman" w:hAnsi="Times New Roman"/>
          <w:spacing w:val="-4"/>
          <w:sz w:val="28"/>
          <w:szCs w:val="28"/>
          <w:lang w:val="uk-UA"/>
        </w:rPr>
        <w:t xml:space="preserve"> Г. Ф., 1990).</w:t>
      </w:r>
    </w:p>
    <w:p w:rsidR="00B76849" w:rsidRPr="00B76849" w:rsidRDefault="00B76849" w:rsidP="00B768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6849">
        <w:rPr>
          <w:rFonts w:ascii="Times New Roman" w:hAnsi="Times New Roman"/>
          <w:b/>
          <w:sz w:val="28"/>
          <w:szCs w:val="28"/>
          <w:lang w:val="uk-UA"/>
        </w:rPr>
        <w:t>РЕЗУЛЬТАТИ ДОСЛІДЖЕННЯ ТА ЇХ ОБГОВОРЕННЯ</w:t>
      </w:r>
    </w:p>
    <w:p w:rsidR="00B76849" w:rsidRPr="00B76849" w:rsidRDefault="00B76849" w:rsidP="00B768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Зміни концентрації та кліренсу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, відносної реабсорбції води в нирках щурів за введення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сполук Ренію та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У процесі розвитку пухлини відмічалось накопичення в крові азотовмісних сполук, на що вказує збільшення рівня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 плазмі крові порівняно з контрольною групою в 1,3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 Особливо підвищувався вміст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крові у групах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щурів-пухлиноносіїв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де вводився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. При введення його розчинної форми вміст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 крові збільшувався в 1,5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а при введенні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наноліпосомної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форми – в 2,8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що підкреслює негативний вплив цього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цитостатика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на фільтраційну </w:t>
      </w:r>
      <w:r w:rsidRPr="00B76849">
        <w:rPr>
          <w:rFonts w:ascii="Times New Roman" w:hAnsi="Times New Roman"/>
          <w:sz w:val="28"/>
          <w:szCs w:val="28"/>
          <w:lang w:val="uk-UA"/>
        </w:rPr>
        <w:lastRenderedPageBreak/>
        <w:t xml:space="preserve">функцію і здатність нирок до виведення з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кровотоку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продуктів азотного обміну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Voss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J.-U., 2003). Кліренс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значно знижувався у процесі розвитку новоутворення (на 13%) і при введенні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щурам-пухлиноносіям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у розчині (на 87%) та 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ліпосомній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формі (на 40%). Відносна реабсорбція води в нирках також знижувалась при введенні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на 4%. Це свідчить про глибокі деструктивні процеси, що протікають в організмі, та порушення концентраційної і фільтраційної функцій нирок дослідних тварин.</w:t>
      </w:r>
    </w:p>
    <w:p w:rsidR="00B76849" w:rsidRPr="00B76849" w:rsidRDefault="00B76849" w:rsidP="00B7684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Введення сполук Ренію 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ліпосомній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формі незалежно від їхньої структури призводило до значного зниження концентрації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крові і підвищенні концентрації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 сечі, порівняно з групою Т8+cPt, та практично нормалізувало параметри кліренсу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і відносної реабсорбції води, що свідчить про здатність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до нормалізації функції нирок за дії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ушкоджуючих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чинників різного походження.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нефротоксиканту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разом із сполуками Ренію різними способами не призводило до значних змін концентрації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 сечі і крові та кліренсу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у порівнянні з контролем, що свідчить про унікальну властивість сполук Ренію до зменшення токсичної дії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на нирки. Зроблені висновки додатково підтверджувались даними дослідження відносної ваги нирок та хвилинного діурезу (представлено у </w:t>
      </w:r>
      <w:r w:rsidR="001E217F">
        <w:rPr>
          <w:rFonts w:ascii="Times New Roman" w:hAnsi="Times New Roman"/>
          <w:sz w:val="28"/>
          <w:szCs w:val="28"/>
          <w:lang w:val="uk-UA"/>
        </w:rPr>
        <w:t>описі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 роботі).</w:t>
      </w:r>
    </w:p>
    <w:p w:rsidR="00B76849" w:rsidRPr="00B76849" w:rsidRDefault="00B76849" w:rsidP="00B768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Зміни інтенсивності протеїнурії та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ензимурії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у щурів за введення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сполук Ренію та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Пухлинний ріст призводив до розвитку інтенсивної протеїнурії, на що вказує підвищення концентрації білку у сечі на 38%, порівняно з контролем. Це пояснюється збільшенням проникності плазматичних мембран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гломерулярних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клітин внаслідок посиленої продукції пухлиною активних форм кисню, гуморальних факторів (гормони, фактори росту,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цитокіни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і пухлинні антигени) та зміною азотного балансу в цілому організмі (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Ronco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P. M., 1999). При введенні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щурам-пухлиноносіям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вміст загального білку в сечі збільшувався на 52%, порівняно з контролем. </w:t>
      </w:r>
    </w:p>
    <w:p w:rsidR="00B76849" w:rsidRPr="00454156" w:rsidRDefault="00B76849" w:rsidP="004541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З метою дослідження топології ушкодження нефрону і цілісності мембранних структур дистального і проксимального відділів нефрону вивчали активність ЛДГ і ГТП в сечі. Розвиток новоутворення та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збільшували активність ГТП в 3; ЛДГ в 1,5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порівняно з контролем, що свідчить про ушкодження клітин проксимального і дистального відділу нефрону, для яких специфічно локалізовані досліджувані ферменти, що досліджували (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Gasting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D., 2006).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сполук Ренію знижувало токсичний ефект пухлини на нирки (зниження загального білку в сечі – на 32%, активність ГТП на 54%, порівняно з групою Т8, та зниження активності ЛДГ до контрольного рівня). Це вказує на зменшення проникності плазматичних мембран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канальцевих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клітин, вірогідно, внаслідок зниження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вільнорадикальних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та окисних процесів під дією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сполук Ренію. </w:t>
      </w:r>
    </w:p>
    <w:p w:rsidR="008F729B" w:rsidRDefault="00B76849" w:rsidP="00B768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Зміни ферментативної активності нирок у моделі пухлинного росту за введення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сполук Ренію та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76849">
        <w:rPr>
          <w:rFonts w:ascii="Times New Roman" w:hAnsi="Times New Roman"/>
          <w:sz w:val="28"/>
          <w:szCs w:val="28"/>
          <w:lang w:val="uk-UA"/>
        </w:rPr>
        <w:t>Р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>озвиток пухлини призводить до з</w:t>
      </w:r>
      <w:r w:rsidR="00454156">
        <w:rPr>
          <w:rFonts w:ascii="Times New Roman" w:hAnsi="Times New Roman"/>
          <w:sz w:val="28"/>
          <w:szCs w:val="28"/>
          <w:lang w:val="uk-UA" w:eastAsia="ar-SA"/>
        </w:rPr>
        <w:t>більшення активності ГТП – на 29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% і ЛДГ – на </w:t>
      </w:r>
      <w:r w:rsidR="00454156">
        <w:rPr>
          <w:rFonts w:ascii="Times New Roman" w:hAnsi="Times New Roman"/>
          <w:sz w:val="28"/>
          <w:szCs w:val="28"/>
          <w:lang w:val="uk-UA" w:eastAsia="ar-SA"/>
        </w:rPr>
        <w:t>53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>%, порівняно з контролем.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Як видно з отриманих результатів, майже в усіх дослідних групах відмічалось 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збільшення активності ГТП в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гомогенаті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нирок при введенні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і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сполук Ренію в 1,</w:t>
      </w:r>
      <w:r w:rsidR="00454156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>-</w:t>
      </w:r>
      <w:r w:rsidR="0045415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раз</w:t>
      </w:r>
      <w:r w:rsidR="00454156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, порівняно з контролем, що може бути пов’язане з участю даного ензиму у метаболізмі сполук на основі перехідних металів, та розщепленні їхніх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глутатіонових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кон’югатів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Townsend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D. M.</w:t>
      </w:r>
      <w:r w:rsidR="008F729B">
        <w:rPr>
          <w:rFonts w:ascii="Times New Roman" w:hAnsi="Times New Roman"/>
          <w:sz w:val="28"/>
          <w:szCs w:val="28"/>
          <w:lang w:val="uk-UA" w:eastAsia="ar-SA"/>
        </w:rPr>
        <w:t>, 2003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). Поряд з цим, активність ЛДГ в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гомогенаті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нирок достовірно змінювалась порівняно з контролем лише в групах щурів з пухлиною і при введенні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(в 1,5-2,0 рази). Це може бути пов’язане з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гіпоксичним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впливом як пухлини, так і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на ниркову тканину, та активацією </w:t>
      </w:r>
      <w:proofErr w:type="spellStart"/>
      <w:r w:rsidRPr="00B76849">
        <w:rPr>
          <w:rFonts w:ascii="Times New Roman" w:hAnsi="Times New Roman"/>
          <w:sz w:val="28"/>
          <w:szCs w:val="28"/>
          <w:lang w:val="uk-UA" w:eastAsia="ar-SA"/>
        </w:rPr>
        <w:t>позамітохондріального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 w:eastAsia="ar-SA"/>
        </w:rPr>
        <w:t xml:space="preserve"> шляху синтезу АТР (анаеробного гліколізу)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Vazquez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A., 2010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>).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B76849" w:rsidRPr="00B76849" w:rsidRDefault="00B76849" w:rsidP="00B768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Зміни інтенсивності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пероксидного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окиснення ліпідів, окиснення білків і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тіол-дисульфідного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співвідношення у тканині нирок за введення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щурам-пухлиноносіям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сполук Ренію та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Пухлинний ріст призводив до збільшення інтенсивності ПОЛ у тканині щурів, на що вказує збільшення вмісту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ТБК-активних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продуктів у 4,3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порівняно з </w:t>
      </w:r>
      <w:r w:rsidR="008F729B">
        <w:rPr>
          <w:rFonts w:ascii="Times New Roman" w:hAnsi="Times New Roman"/>
          <w:sz w:val="28"/>
          <w:szCs w:val="28"/>
          <w:lang w:val="uk-UA"/>
        </w:rPr>
        <w:t>контролем</w:t>
      </w:r>
      <w:r w:rsidRPr="00B76849">
        <w:rPr>
          <w:rFonts w:ascii="Times New Roman" w:hAnsi="Times New Roman"/>
          <w:sz w:val="28"/>
          <w:szCs w:val="28"/>
          <w:lang w:val="uk-UA"/>
        </w:rPr>
        <w:t>.</w:t>
      </w:r>
      <w:r w:rsidR="008F72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збільшувало інтенсивність процесу ПОЛ, концентрація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ТБК-активних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продуктів збільшувалася у 4,5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порівняно з контролем. Введення сполук Ренію, незалежно від їхньої структури, призводило до зниження інтенсивності процесу ПОЛ на 71% у порівнянні з групою щурів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пухлиноносіїв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. Слід відмітити, що при окремому введенні сполук Ренію у моделі канцерогенезу гальмування росту пухлини складало у середньому від 30 до 90%. Отже, здатність до гасіння ПОЛ в нирковій тканині у моделях пухлинного росту показано для сполук Ренію незалежно від їхньої протипухлинної активності. Введення протипухлинної системи Реній-Платина також призводило до гасіння процесів ПОЛ у нирках щурів в середньому на 70-75%.</w:t>
      </w:r>
      <w:r w:rsidR="00592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Додатковим підтвердженням антиоксидантних властивостей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у моделі пухлинного росту виявилися результати дослідження вмісту карбонільних груп білків 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тіол-дисульфідного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коефіцієнту, концентрації низькомолекулярних тіолі</w:t>
      </w:r>
      <w:r w:rsidR="00454156">
        <w:rPr>
          <w:rFonts w:ascii="Times New Roman" w:hAnsi="Times New Roman"/>
          <w:sz w:val="28"/>
          <w:szCs w:val="28"/>
          <w:lang w:val="uk-UA"/>
        </w:rPr>
        <w:t>в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, а також нормалізація активності ферментів системи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глутатіону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глутатіонпероксидази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глутатіонредуктази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глутатіон-S-трансферази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.</w:t>
      </w:r>
    </w:p>
    <w:p w:rsidR="00B76849" w:rsidRDefault="00B76849" w:rsidP="00B76849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Слід звернути увагу на те, що рівень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ТБК-активних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продуктів в нирковій тканині у процесі розвитку пухлини досягав 1</w:t>
      </w:r>
      <w:r w:rsidR="008F729B">
        <w:rPr>
          <w:rFonts w:ascii="Times New Roman" w:hAnsi="Times New Roman"/>
          <w:sz w:val="28"/>
          <w:szCs w:val="28"/>
          <w:lang w:val="uk-UA"/>
        </w:rPr>
        <w:t>25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±2,6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/г тканини, а при введенні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– 18</w:t>
      </w:r>
      <w:r w:rsidR="008F729B">
        <w:rPr>
          <w:rFonts w:ascii="Times New Roman" w:hAnsi="Times New Roman"/>
          <w:sz w:val="28"/>
          <w:szCs w:val="28"/>
          <w:lang w:val="uk-UA"/>
        </w:rPr>
        <w:t>8</w:t>
      </w:r>
      <w:r w:rsidRPr="00B76849">
        <w:rPr>
          <w:rFonts w:ascii="Times New Roman" w:hAnsi="Times New Roman"/>
          <w:sz w:val="28"/>
          <w:szCs w:val="28"/>
          <w:lang w:val="uk-UA"/>
        </w:rPr>
        <w:t>±</w:t>
      </w:r>
      <w:r w:rsidR="008F729B">
        <w:rPr>
          <w:rFonts w:ascii="Times New Roman" w:hAnsi="Times New Roman"/>
          <w:sz w:val="28"/>
          <w:szCs w:val="28"/>
          <w:lang w:val="uk-UA"/>
        </w:rPr>
        <w:t>1,0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/г тканини. Зменшення інтенсивності процесу ПОЛ 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щурів-пухлиноносіїв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становило до 75%, а при введенні протипухлинної системи Реній-Платина – до 90%. Тобто, спостерігається зростання ефективності антиоксидантної функції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із зростанням інтенсивності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оксидативного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стресу у тканині. Це є підставою віднести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сполуки Ренію до сполук, що активуються інтенсифікацією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вільнорадикальних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процесів у клітинах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Graf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N., 2013), і виконують антиоксидантні функції тим ефективніше, чим більшою є інтенсивність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оксидативного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стресу. </w:t>
      </w:r>
    </w:p>
    <w:p w:rsidR="003231A1" w:rsidRDefault="003231A1" w:rsidP="003231A1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125">
        <w:rPr>
          <w:rFonts w:ascii="Times New Roman" w:hAnsi="Times New Roman"/>
          <w:b/>
          <w:sz w:val="28"/>
          <w:szCs w:val="28"/>
        </w:rPr>
        <w:t>Морфологічні</w:t>
      </w:r>
      <w:proofErr w:type="spellEnd"/>
      <w:r w:rsidRPr="00342125">
        <w:rPr>
          <w:rFonts w:ascii="Times New Roman" w:hAnsi="Times New Roman"/>
          <w:b/>
          <w:sz w:val="28"/>
          <w:szCs w:val="28"/>
        </w:rPr>
        <w:t xml:space="preserve"> характеристики </w:t>
      </w:r>
      <w:proofErr w:type="spellStart"/>
      <w:r w:rsidRPr="00342125">
        <w:rPr>
          <w:rFonts w:ascii="Times New Roman" w:hAnsi="Times New Roman"/>
          <w:b/>
          <w:sz w:val="28"/>
          <w:szCs w:val="28"/>
        </w:rPr>
        <w:t>ниркової</w:t>
      </w:r>
      <w:proofErr w:type="spellEnd"/>
      <w:r w:rsidRPr="003421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b/>
          <w:sz w:val="28"/>
          <w:szCs w:val="28"/>
        </w:rPr>
        <w:t>тканини</w:t>
      </w:r>
      <w:proofErr w:type="spellEnd"/>
      <w:r w:rsidRPr="003421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b/>
          <w:sz w:val="28"/>
          <w:szCs w:val="28"/>
        </w:rPr>
        <w:t>щурів-пухлиноносіїв</w:t>
      </w:r>
      <w:proofErr w:type="spellEnd"/>
      <w:r w:rsidRPr="00342125">
        <w:rPr>
          <w:rFonts w:ascii="Times New Roman" w:hAnsi="Times New Roman"/>
          <w:b/>
          <w:sz w:val="28"/>
          <w:szCs w:val="28"/>
        </w:rPr>
        <w:t xml:space="preserve"> за умов </w:t>
      </w:r>
      <w:proofErr w:type="spellStart"/>
      <w:r w:rsidRPr="00342125">
        <w:rPr>
          <w:rFonts w:ascii="Times New Roman" w:hAnsi="Times New Roman"/>
          <w:b/>
          <w:sz w:val="28"/>
          <w:szCs w:val="28"/>
        </w:rPr>
        <w:t>введення</w:t>
      </w:r>
      <w:proofErr w:type="spellEnd"/>
      <w:r w:rsidRPr="003421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b/>
          <w:sz w:val="28"/>
          <w:szCs w:val="28"/>
        </w:rPr>
        <w:t>кластерних</w:t>
      </w:r>
      <w:proofErr w:type="spellEnd"/>
      <w:r w:rsidRPr="003421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b/>
          <w:sz w:val="28"/>
          <w:szCs w:val="28"/>
        </w:rPr>
        <w:t>сполук</w:t>
      </w:r>
      <w:proofErr w:type="spellEnd"/>
      <w:r w:rsidRPr="003421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b/>
          <w:sz w:val="28"/>
          <w:szCs w:val="28"/>
        </w:rPr>
        <w:t>Ренію</w:t>
      </w:r>
      <w:proofErr w:type="spellEnd"/>
      <w:r w:rsidRPr="00342125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342125">
        <w:rPr>
          <w:rFonts w:ascii="Times New Roman" w:hAnsi="Times New Roman"/>
          <w:b/>
          <w:sz w:val="28"/>
          <w:szCs w:val="28"/>
        </w:rPr>
        <w:t>цисплатину</w:t>
      </w:r>
      <w:proofErr w:type="spellEnd"/>
      <w:r w:rsidRPr="00342125">
        <w:rPr>
          <w:rFonts w:ascii="Times New Roman" w:hAnsi="Times New Roman"/>
          <w:b/>
          <w:sz w:val="28"/>
          <w:szCs w:val="28"/>
        </w:rPr>
        <w:t>.</w:t>
      </w:r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пухлини</w:t>
      </w:r>
      <w:proofErr w:type="spellEnd"/>
      <w:r>
        <w:rPr>
          <w:rFonts w:ascii="Times New Roman" w:hAnsi="Times New Roman"/>
          <w:sz w:val="28"/>
          <w:szCs w:val="28"/>
        </w:rPr>
        <w:t xml:space="preserve"> і</w:t>
      </w:r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цисплатину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призводить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42125">
        <w:rPr>
          <w:rFonts w:ascii="Times New Roman" w:hAnsi="Times New Roman"/>
          <w:sz w:val="28"/>
          <w:szCs w:val="28"/>
        </w:rPr>
        <w:t>суттєвих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морфологічних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змін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42125">
        <w:rPr>
          <w:rFonts w:ascii="Times New Roman" w:hAnsi="Times New Roman"/>
          <w:sz w:val="28"/>
          <w:szCs w:val="28"/>
        </w:rPr>
        <w:t>нирковій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корі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093C">
        <w:rPr>
          <w:rFonts w:ascii="Times New Roman" w:hAnsi="Times New Roman"/>
          <w:sz w:val="28"/>
          <w:szCs w:val="28"/>
        </w:rPr>
        <w:t>Зміни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93C">
        <w:rPr>
          <w:rFonts w:ascii="Times New Roman" w:hAnsi="Times New Roman"/>
          <w:sz w:val="28"/>
          <w:szCs w:val="28"/>
        </w:rPr>
        <w:t>нирок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93C">
        <w:rPr>
          <w:rFonts w:ascii="Times New Roman" w:hAnsi="Times New Roman"/>
          <w:sz w:val="28"/>
          <w:szCs w:val="28"/>
        </w:rPr>
        <w:t>проявлялися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93C">
        <w:rPr>
          <w:rFonts w:ascii="Times New Roman" w:hAnsi="Times New Roman"/>
          <w:sz w:val="28"/>
          <w:szCs w:val="28"/>
        </w:rPr>
        <w:t>помірно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93C">
        <w:rPr>
          <w:rFonts w:ascii="Times New Roman" w:hAnsi="Times New Roman"/>
          <w:sz w:val="28"/>
          <w:szCs w:val="28"/>
        </w:rPr>
        <w:t>вираженою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93C">
        <w:rPr>
          <w:rFonts w:ascii="Times New Roman" w:hAnsi="Times New Roman"/>
          <w:sz w:val="28"/>
          <w:szCs w:val="28"/>
        </w:rPr>
        <w:t>дистрофією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93C">
        <w:rPr>
          <w:rFonts w:ascii="Times New Roman" w:hAnsi="Times New Roman"/>
          <w:sz w:val="28"/>
          <w:szCs w:val="28"/>
        </w:rPr>
        <w:t>епітелію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93C">
        <w:rPr>
          <w:rFonts w:ascii="Times New Roman" w:hAnsi="Times New Roman"/>
          <w:sz w:val="28"/>
          <w:szCs w:val="28"/>
        </w:rPr>
        <w:t>канальців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9093C">
        <w:rPr>
          <w:rFonts w:ascii="Times New Roman" w:hAnsi="Times New Roman"/>
          <w:sz w:val="28"/>
          <w:szCs w:val="28"/>
        </w:rPr>
        <w:lastRenderedPageBreak/>
        <w:t>поодинокими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некрозами, </w:t>
      </w:r>
      <w:proofErr w:type="spellStart"/>
      <w:r w:rsidRPr="00C9093C">
        <w:rPr>
          <w:rFonts w:ascii="Times New Roman" w:hAnsi="Times New Roman"/>
          <w:sz w:val="28"/>
          <w:szCs w:val="28"/>
        </w:rPr>
        <w:t>значним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93C">
        <w:rPr>
          <w:rFonts w:ascii="Times New Roman" w:hAnsi="Times New Roman"/>
          <w:sz w:val="28"/>
          <w:szCs w:val="28"/>
        </w:rPr>
        <w:t>повнокров’ям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93C">
        <w:rPr>
          <w:rFonts w:ascii="Times New Roman" w:hAnsi="Times New Roman"/>
          <w:sz w:val="28"/>
          <w:szCs w:val="28"/>
        </w:rPr>
        <w:t>судин</w:t>
      </w:r>
      <w:proofErr w:type="spellEnd"/>
      <w:r w:rsidRPr="00C909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9093C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крововиливів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125">
        <w:rPr>
          <w:rFonts w:ascii="Times New Roman" w:hAnsi="Times New Roman"/>
          <w:sz w:val="28"/>
          <w:szCs w:val="28"/>
        </w:rPr>
        <w:t>що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42125">
        <w:rPr>
          <w:rFonts w:ascii="Times New Roman" w:hAnsi="Times New Roman"/>
          <w:sz w:val="28"/>
          <w:szCs w:val="28"/>
        </w:rPr>
        <w:t>однією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42125">
        <w:rPr>
          <w:rFonts w:ascii="Times New Roman" w:hAnsi="Times New Roman"/>
          <w:sz w:val="28"/>
          <w:szCs w:val="28"/>
        </w:rPr>
        <w:t>ознак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ішемічного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ушкодження</w:t>
      </w:r>
      <w:proofErr w:type="spellEnd"/>
      <w:r w:rsidRPr="00D02936">
        <w:rPr>
          <w:rFonts w:ascii="Times New Roman" w:hAnsi="Times New Roman"/>
          <w:sz w:val="28"/>
          <w:szCs w:val="28"/>
        </w:rPr>
        <w:t xml:space="preserve">. </w:t>
      </w:r>
    </w:p>
    <w:p w:rsidR="003231A1" w:rsidRDefault="003231A1" w:rsidP="003231A1">
      <w:pPr>
        <w:spacing w:after="0" w:line="252" w:lineRule="auto"/>
        <w:ind w:firstLine="851"/>
        <w:jc w:val="both"/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2990215</wp:posOffset>
                </wp:positionV>
                <wp:extent cx="320040" cy="2965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1A1" w:rsidRPr="00D02936" w:rsidRDefault="003231A1" w:rsidP="003231A1">
                            <w:pPr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D0293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60.2pt;margin-top:235.45pt;width:25.2pt;height:2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" filled="f" stroked="f" strokeweight=".5pt">
                <v:path arrowok="t"/>
                <v:textbox>
                  <w:txbxContent>
                    <w:p w:rsidR="003231A1" w:rsidRPr="00D02936" w:rsidRDefault="003231A1" w:rsidP="003231A1">
                      <w:pPr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0293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0293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2990215</wp:posOffset>
                </wp:positionV>
                <wp:extent cx="320040" cy="296545"/>
                <wp:effectExtent l="0" t="0" r="0" b="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1A1" w:rsidRPr="00D02936" w:rsidRDefault="003231A1" w:rsidP="003231A1">
                            <w:pPr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D0293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44" o:spid="_x0000_s1027" type="#_x0000_t202" style="position:absolute;left:0;text-align:left;margin-left:252.95pt;margin-top:235.45pt;width:25.2pt;height:2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" filled="f" stroked="f" strokeweight=".5pt">
                <v:path arrowok="t"/>
                <v:textbox>
                  <w:txbxContent>
                    <w:p w:rsidR="003231A1" w:rsidRPr="00D02936" w:rsidRDefault="003231A1" w:rsidP="003231A1">
                      <w:pPr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0293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42125">
        <w:rPr>
          <w:rFonts w:ascii="Times New Roman" w:hAnsi="Times New Roman"/>
          <w:sz w:val="28"/>
          <w:szCs w:val="28"/>
        </w:rPr>
        <w:t>Гломерули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були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нерівномірно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повнокровні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42125">
        <w:rPr>
          <w:rFonts w:ascii="Times New Roman" w:hAnsi="Times New Roman"/>
          <w:sz w:val="28"/>
          <w:szCs w:val="28"/>
        </w:rPr>
        <w:t>розширеними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капілярами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125">
        <w:rPr>
          <w:rFonts w:ascii="Times New Roman" w:hAnsi="Times New Roman"/>
          <w:sz w:val="28"/>
          <w:szCs w:val="28"/>
        </w:rPr>
        <w:t>збільшені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42125">
        <w:rPr>
          <w:rFonts w:ascii="Times New Roman" w:hAnsi="Times New Roman"/>
          <w:sz w:val="28"/>
          <w:szCs w:val="28"/>
        </w:rPr>
        <w:t>розмірі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125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простору </w:t>
      </w:r>
      <w:proofErr w:type="spellStart"/>
      <w:r w:rsidRPr="00342125">
        <w:rPr>
          <w:rFonts w:ascii="Times New Roman" w:hAnsi="Times New Roman"/>
          <w:sz w:val="28"/>
          <w:szCs w:val="28"/>
        </w:rPr>
        <w:t>гломерулярної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капсули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2125">
        <w:rPr>
          <w:rFonts w:ascii="Times New Roman" w:hAnsi="Times New Roman"/>
          <w:sz w:val="28"/>
          <w:szCs w:val="28"/>
        </w:rPr>
        <w:t>Це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свідчить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42125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внутрішньоклітинного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судинного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тиску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набряку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тканини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</w:t>
      </w:r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введенн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цисплатину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також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відмічались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ознаки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токсичного </w:t>
      </w:r>
      <w:proofErr w:type="spellStart"/>
      <w:r w:rsidRPr="00342125">
        <w:rPr>
          <w:rFonts w:ascii="Times New Roman" w:hAnsi="Times New Roman"/>
          <w:sz w:val="28"/>
          <w:szCs w:val="28"/>
        </w:rPr>
        <w:t>ушкодження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125">
        <w:rPr>
          <w:rFonts w:ascii="Times New Roman" w:hAnsi="Times New Roman"/>
          <w:sz w:val="28"/>
          <w:szCs w:val="28"/>
        </w:rPr>
        <w:t>що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проявлялось у </w:t>
      </w:r>
      <w:proofErr w:type="spellStart"/>
      <w:r w:rsidRPr="00342125">
        <w:rPr>
          <w:rFonts w:ascii="Times New Roman" w:hAnsi="Times New Roman"/>
          <w:sz w:val="28"/>
          <w:szCs w:val="28"/>
        </w:rPr>
        <w:t>значній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вакуолізації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гломерулярних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клітин</w:t>
      </w:r>
      <w:proofErr w:type="spellEnd"/>
      <w:r w:rsidRPr="00342125">
        <w:rPr>
          <w:rFonts w:ascii="Times New Roman" w:hAnsi="Times New Roman"/>
          <w:sz w:val="28"/>
          <w:szCs w:val="28"/>
        </w:rPr>
        <w:t>.</w:t>
      </w:r>
      <w:r w:rsidRPr="00342125">
        <w:t xml:space="preserve"> </w:t>
      </w:r>
    </w:p>
    <w:p w:rsidR="003231A1" w:rsidRDefault="003231A1" w:rsidP="003231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125">
        <w:rPr>
          <w:rFonts w:ascii="Times New Roman" w:hAnsi="Times New Roman"/>
          <w:sz w:val="28"/>
          <w:szCs w:val="28"/>
        </w:rPr>
        <w:t>Це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відображає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колоїдно-осмотичного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тиску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клітинах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42125">
        <w:rPr>
          <w:rFonts w:ascii="Times New Roman" w:hAnsi="Times New Roman"/>
          <w:sz w:val="28"/>
          <w:szCs w:val="28"/>
        </w:rPr>
        <w:t>призводить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42125">
        <w:rPr>
          <w:rFonts w:ascii="Times New Roman" w:hAnsi="Times New Roman"/>
          <w:sz w:val="28"/>
          <w:szCs w:val="28"/>
        </w:rPr>
        <w:t>їхнього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некрозу (</w:t>
      </w:r>
      <w:proofErr w:type="spellStart"/>
      <w:r w:rsidRPr="00342125">
        <w:rPr>
          <w:rFonts w:ascii="Times New Roman" w:hAnsi="Times New Roman"/>
          <w:sz w:val="28"/>
          <w:szCs w:val="28"/>
        </w:rPr>
        <w:t>Yasuno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K., 2010; </w:t>
      </w:r>
      <w:proofErr w:type="spellStart"/>
      <w:r w:rsidRPr="00342125">
        <w:rPr>
          <w:rFonts w:ascii="Times New Roman" w:hAnsi="Times New Roman"/>
          <w:sz w:val="28"/>
          <w:szCs w:val="28"/>
        </w:rPr>
        <w:t>Pather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L., 2007; </w:t>
      </w:r>
      <w:proofErr w:type="spellStart"/>
      <w:r w:rsidRPr="00342125">
        <w:rPr>
          <w:rFonts w:ascii="Times New Roman" w:hAnsi="Times New Roman"/>
          <w:sz w:val="28"/>
          <w:szCs w:val="28"/>
        </w:rPr>
        <w:t>Levey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A. S., 1999). </w:t>
      </w:r>
      <w:proofErr w:type="spellStart"/>
      <w:r w:rsidRPr="00342125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морфології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коркового шару </w:t>
      </w:r>
      <w:proofErr w:type="spellStart"/>
      <w:r w:rsidRPr="00342125">
        <w:rPr>
          <w:rFonts w:ascii="Times New Roman" w:hAnsi="Times New Roman"/>
          <w:sz w:val="28"/>
          <w:szCs w:val="28"/>
        </w:rPr>
        <w:t>нирок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щурів-пухлиноносіїв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після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кластерних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Ренію</w:t>
      </w:r>
      <w:proofErr w:type="spellEnd"/>
      <w:r>
        <w:rPr>
          <w:rFonts w:ascii="Times New Roman" w:hAnsi="Times New Roman"/>
          <w:sz w:val="28"/>
          <w:szCs w:val="28"/>
        </w:rPr>
        <w:t xml:space="preserve"> і [</w:t>
      </w:r>
      <w:proofErr w:type="spellStart"/>
      <w:r>
        <w:rPr>
          <w:rFonts w:ascii="Times New Roman" w:hAnsi="Times New Roman"/>
          <w:sz w:val="28"/>
          <w:szCs w:val="28"/>
        </w:rPr>
        <w:t>Re+cPt</w:t>
      </w:r>
      <w:proofErr w:type="spellEnd"/>
      <w:r>
        <w:rPr>
          <w:rFonts w:ascii="Times New Roman" w:hAnsi="Times New Roman"/>
          <w:sz w:val="28"/>
          <w:szCs w:val="28"/>
        </w:rPr>
        <w:t>]</w:t>
      </w:r>
      <w:proofErr w:type="spellStart"/>
      <w:r>
        <w:rPr>
          <w:rFonts w:ascii="Times New Roman" w:hAnsi="Times New Roman"/>
          <w:sz w:val="28"/>
          <w:szCs w:val="28"/>
        </w:rPr>
        <w:t>nl</w:t>
      </w:r>
      <w:proofErr w:type="spellEnd"/>
      <w:r>
        <w:rPr>
          <w:rFonts w:ascii="Times New Roman" w:hAnsi="Times New Roman"/>
          <w:sz w:val="28"/>
          <w:szCs w:val="28"/>
        </w:rPr>
        <w:t xml:space="preserve"> (рис. 1</w:t>
      </w:r>
      <w:r w:rsidRPr="00342125">
        <w:rPr>
          <w:rFonts w:ascii="Times New Roman" w:hAnsi="Times New Roman"/>
          <w:sz w:val="28"/>
          <w:szCs w:val="28"/>
        </w:rPr>
        <w:t xml:space="preserve"> ІІ i ІІI) показало, </w:t>
      </w:r>
      <w:proofErr w:type="spellStart"/>
      <w:r w:rsidRPr="00342125">
        <w:rPr>
          <w:rFonts w:ascii="Times New Roman" w:hAnsi="Times New Roman"/>
          <w:sz w:val="28"/>
          <w:szCs w:val="28"/>
        </w:rPr>
        <w:t>що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патологічні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зміни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тканин </w:t>
      </w:r>
      <w:proofErr w:type="spellStart"/>
      <w:r w:rsidRPr="00342125">
        <w:rPr>
          <w:rFonts w:ascii="Times New Roman" w:hAnsi="Times New Roman"/>
          <w:sz w:val="28"/>
          <w:szCs w:val="28"/>
        </w:rPr>
        <w:t>були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значно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меншими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порівняно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42125">
        <w:rPr>
          <w:rFonts w:ascii="Times New Roman" w:hAnsi="Times New Roman"/>
          <w:sz w:val="28"/>
          <w:szCs w:val="28"/>
        </w:rPr>
        <w:t>тваринами-пухлиноносіями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125">
        <w:rPr>
          <w:rFonts w:ascii="Times New Roman" w:hAnsi="Times New Roman"/>
          <w:sz w:val="28"/>
          <w:szCs w:val="28"/>
        </w:rPr>
        <w:t>яким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вводили </w:t>
      </w:r>
      <w:proofErr w:type="spellStart"/>
      <w:r w:rsidRPr="00342125">
        <w:rPr>
          <w:rFonts w:ascii="Times New Roman" w:hAnsi="Times New Roman"/>
          <w:sz w:val="28"/>
          <w:szCs w:val="28"/>
        </w:rPr>
        <w:t>цисплатин</w:t>
      </w:r>
      <w:proofErr w:type="spellEnd"/>
      <w:r w:rsidRPr="00342125">
        <w:rPr>
          <w:rFonts w:ascii="Times New Roman" w:hAnsi="Times New Roman"/>
          <w:sz w:val="28"/>
          <w:szCs w:val="28"/>
        </w:rPr>
        <w:t>.</w:t>
      </w:r>
    </w:p>
    <w:p w:rsidR="003231A1" w:rsidRPr="00B76849" w:rsidRDefault="003231A1" w:rsidP="003231A1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Кора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нирок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і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їхня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мозкова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частина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мали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чіткі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контури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плазматичних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мембран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клітини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,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епітелій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звивистих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канальців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також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знаходився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7E65EA">
        <w:rPr>
          <w:rFonts w:ascii="Times New Roman" w:hAnsi="Times New Roman"/>
          <w:spacing w:val="-4"/>
          <w:sz w:val="28"/>
          <w:szCs w:val="28"/>
          <w:lang w:val="uk-UA" w:eastAsia="ar-SA"/>
        </w:rPr>
        <w:t>в</w:t>
      </w:r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межах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норми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,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відмічалось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зменшення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кількості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повнокровних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>ділянок</w:t>
      </w:r>
      <w:proofErr w:type="spellEnd"/>
      <w:r w:rsidRPr="00342125">
        <w:rPr>
          <w:rFonts w:ascii="Times New Roman" w:hAnsi="Times New Roman"/>
          <w:spacing w:val="-4"/>
          <w:sz w:val="28"/>
          <w:szCs w:val="28"/>
          <w:lang w:eastAsia="ar-SA"/>
        </w:rPr>
        <w:t xml:space="preserve">. </w:t>
      </w:r>
      <w:proofErr w:type="spellStart"/>
      <w:r w:rsidRPr="00342125">
        <w:rPr>
          <w:rFonts w:ascii="Times New Roman" w:hAnsi="Times New Roman"/>
          <w:sz w:val="28"/>
          <w:szCs w:val="28"/>
        </w:rPr>
        <w:t>Отже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125">
        <w:rPr>
          <w:rFonts w:ascii="Times New Roman" w:hAnsi="Times New Roman"/>
          <w:sz w:val="28"/>
          <w:szCs w:val="28"/>
        </w:rPr>
        <w:t>морфологічні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підтвердили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показані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вище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біохімічні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зміни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біохімічних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маркерів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функціонального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342125">
        <w:rPr>
          <w:rFonts w:ascii="Times New Roman" w:hAnsi="Times New Roman"/>
          <w:sz w:val="28"/>
          <w:szCs w:val="28"/>
        </w:rPr>
        <w:t>нирок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42125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кластерних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сполук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Ренію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42125">
        <w:rPr>
          <w:rFonts w:ascii="Times New Roman" w:hAnsi="Times New Roman"/>
          <w:sz w:val="28"/>
          <w:szCs w:val="28"/>
        </w:rPr>
        <w:t>цисплатину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125">
        <w:rPr>
          <w:rFonts w:ascii="Times New Roman" w:hAnsi="Times New Roman"/>
          <w:sz w:val="28"/>
          <w:szCs w:val="28"/>
        </w:rPr>
        <w:t>що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42125">
        <w:rPr>
          <w:rFonts w:ascii="Times New Roman" w:hAnsi="Times New Roman"/>
          <w:sz w:val="28"/>
          <w:szCs w:val="28"/>
        </w:rPr>
        <w:t>додатковим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доказом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здатності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кластерних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сполук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Ренію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42125">
        <w:rPr>
          <w:rFonts w:ascii="Times New Roman" w:hAnsi="Times New Roman"/>
          <w:sz w:val="28"/>
          <w:szCs w:val="28"/>
        </w:rPr>
        <w:t>нормалізації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нирок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дії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ушкоджуючих</w:t>
      </w:r>
      <w:proofErr w:type="spellEnd"/>
      <w:r w:rsidRPr="0034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125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342125">
        <w:rPr>
          <w:rFonts w:ascii="Times New Roman" w:hAnsi="Times New Roman"/>
          <w:sz w:val="28"/>
          <w:szCs w:val="28"/>
        </w:rPr>
        <w:t>.</w:t>
      </w:r>
    </w:p>
    <w:p w:rsidR="00B76849" w:rsidRPr="00B76849" w:rsidRDefault="00B76849" w:rsidP="00B76849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Загальна схема ураження нирок та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нефропротекторних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властивостей </w:t>
      </w:r>
      <w:proofErr w:type="spellStart"/>
      <w:r w:rsidRPr="00B76849">
        <w:rPr>
          <w:rFonts w:ascii="Times New Roman" w:hAnsi="Times New Roman"/>
          <w:b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b/>
          <w:sz w:val="28"/>
          <w:szCs w:val="28"/>
          <w:lang w:val="uk-UA"/>
        </w:rPr>
        <w:t xml:space="preserve"> сполук Ренію.</w:t>
      </w:r>
      <w:r w:rsidR="004541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Отримані нами дані свідчать про те, що розвиток пухлини призводить до розвитку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оксидативного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стресу як в цілому організмі, так і в нирках. Внаслідок продукції пухлиною продуктів життєдіяльності, вільних радикалів і токсичних метаболітів, які порушують окисно-відновну рівновагу, знижується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тіоловий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статус нирок, що призводить до ще більшого накопичення </w:t>
      </w:r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внутрішньоклітинних вільних радикалів. При дії даних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ушкоджуючих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чинників посилюється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пероксидне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окиснення ліпідів з характерним для цього процесу ушкодженням плазматичних мембран клітин, а окисна модифікація білків призводить до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дисфункції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ферментів в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нефроцитах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, в тому числі антиоксидантних. Такі зміни посилюються введенням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,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нефротоксична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дія якого вже є доведеною і обумовлює режим застосування цього препарату. Сучасні дослідження довели, що в основі механізму токсичної дії більшості похідних перехідних металів полягає їхня висока специфічність до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тіол-вмісних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сполук, більшість з яких представлена антиоксидантами (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Valko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M., 2006). В результаті таких змін в нирковій тканині відмічається накопичення продуктів азотного обміну в крові, зниження кліренсу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, що свідчить про порушення фільтраційної здатності нирок, а також посилення протеїнурії та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ензимурії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, внаслідок збільшення проникності плазматичних мембран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нефроцитів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. </w:t>
      </w:r>
    </w:p>
    <w:p w:rsidR="003231A1" w:rsidRDefault="00B76849" w:rsidP="003231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Введення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сполук Ренію як окремо, так і у складі протипухлинної системи Реній-Платина, знижує активність ферментів в сечі і збільшує швидкість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гломерулярної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фільтрації. Можна припустити, що в основі механізму дії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сполук Ренію знаходяться антиоксидантні властивості і </w:t>
      </w:r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lastRenderedPageBreak/>
        <w:t xml:space="preserve">здатність знижувати </w:t>
      </w:r>
      <w:proofErr w:type="spellStart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>вільнорадикальні</w:t>
      </w:r>
      <w:proofErr w:type="spellEnd"/>
      <w:r w:rsidRPr="00B76849">
        <w:rPr>
          <w:rFonts w:ascii="Times New Roman" w:hAnsi="Times New Roman"/>
          <w:spacing w:val="4"/>
          <w:sz w:val="28"/>
          <w:szCs w:val="28"/>
          <w:lang w:val="uk-UA"/>
        </w:rPr>
        <w:t xml:space="preserve"> процеси в клітинах.</w:t>
      </w:r>
      <w:r w:rsidR="00454156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Відомо, що здатність до зниження окисних процесів, викликаних введенням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у таких антиоксидантів як вітамін С і Е,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еллагова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кислота,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аміногуанідин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не перевищувала 40%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Atessahin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A., 2006;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Yüce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A., 2007;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Atasayar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S., 2009).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сполуки Ренію містять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почверний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зв’язок, який відсутній в природних молекулах і має антиоксидантні функції, які виявляються у здатності до зниження інтенсивності процесу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пероксидного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окиснення ліпідів (ПОЛ) (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Івчук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В. В., 2011;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Леус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І. В., 2012). Ці сполуки відрізняються від звичайних антиоксидантів, які містять у своїй структурі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π-кон’юговані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електронні системи; натомість, в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сполуках Ренію антиоксидантна функція здійснюється завдяки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почверному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зв’язку, який містить δ-компонента, утворену d-електронами перехідного елементу Ренію. До того ж, дослідження молекулярних механізмів взаємодії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почверного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зв’язку з радикалами (результати знаходяться у друці), свідчить про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двостадієву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реакцію знешкодження активних радикалів, на відміну від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одностадієвої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реакції з π-ненасиченими сполуками. Унікальна здатність сполук Ренію до взаємодії з вільними радикалами може частково пояснити встановлену нами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нефропротекторну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активність цих сполук.</w:t>
      </w:r>
    </w:p>
    <w:p w:rsidR="00550FD5" w:rsidRDefault="00550FD5" w:rsidP="003231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1A1" w:rsidRDefault="003231A1" w:rsidP="00323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31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242011" wp14:editId="1FF951D0">
            <wp:extent cx="6480175" cy="4859655"/>
            <wp:effectExtent l="19050" t="19050" r="15875" b="17145"/>
            <wp:docPr id="26626" name="Picture 2" descr="C:\Users\Denis\Desktop\Бабій_Львів_2014_останній\Слайд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Users\Denis\Desktop\Бабій_Львів_2014_останній\Слайд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9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B76849" w:rsidRPr="00B768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6849" w:rsidRPr="003231A1" w:rsidRDefault="00B76849" w:rsidP="003231A1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lastRenderedPageBreak/>
        <w:t xml:space="preserve">Отримані результати дозволяють проаналізувати деякі аспекти механізму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нефропротекторної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дії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Ренію, які включають здатність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почверного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зв’язку до взаємодії з вільними радикалами, що може бути основою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нефропротекторного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ефекту. </w:t>
      </w:r>
    </w:p>
    <w:p w:rsidR="00592F8E" w:rsidRDefault="00592F8E" w:rsidP="00B768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6849" w:rsidRPr="00B76849" w:rsidRDefault="00B76849" w:rsidP="00B768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6849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B76849" w:rsidRPr="00B76849" w:rsidRDefault="00B76849" w:rsidP="00B76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Вивчено зміни біохімічних маркерів функціонального стану нирок щурів за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у моделі пухлинного росту та встановлено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нефропротекторні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властивості сполук Ренію, що містять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почверний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зв’язок.</w:t>
      </w:r>
    </w:p>
    <w:p w:rsidR="00B76849" w:rsidRPr="00B76849" w:rsidRDefault="00B76849" w:rsidP="00B76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1. Встановлено, що розвиток карциноми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Герена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і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призводять до зниження хвилинного діурезу на 46%, кліренсу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креатиніну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на 12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>–</w:t>
      </w:r>
      <w:r w:rsidRPr="00B76849">
        <w:rPr>
          <w:rFonts w:ascii="Times New Roman" w:hAnsi="Times New Roman"/>
          <w:sz w:val="28"/>
          <w:szCs w:val="28"/>
          <w:lang w:val="uk-UA"/>
        </w:rPr>
        <w:t>88% та до зниження відносної реабсорбції води в ниркових канальцях до 4%, що свідчить про значні порушення концентраційної та фільтраційної функцій нирок; введення сполук Ренію різними способами призводило до підвищення значень цих параметрів до контрольного рівня.</w:t>
      </w:r>
    </w:p>
    <w:p w:rsidR="00B76849" w:rsidRPr="00B76849" w:rsidRDefault="00B76849" w:rsidP="00B76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2. Доведено, що у процесі розвитку пухлини і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вміст загального білка в сечі збільшувався в 1,9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; активність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γ-глутамілтранспептидази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 сечі збільшувалась у 6,5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, а лактатдегідрогенази – в 1,5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>–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3,0 рази, порівняно з контролем;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знижувало активність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γ-глутамілтранспептидази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 сечі у середньому в 1,4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порівняно з групою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щурів-пухлиноносіїв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з одночасним зниженням активності лактатдегідрогенази в сечі до контрольних значень.</w:t>
      </w:r>
    </w:p>
    <w:p w:rsidR="00B76849" w:rsidRPr="00B76849" w:rsidRDefault="00B76849" w:rsidP="00B76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3. Показано, що пухлинний ріст,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призводило до зростання активності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γ-глутамілтранспептидази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до 3,0 разів і лактатдегідрогенази – в 1,5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>–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2,0 рази, порівняно з контролем;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сполук Ренію збільшувало активність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γ-глутамілтранспептидази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 нирках на 9%, порівняно з контролем; введення протипухлинної системи Реній-Платина нормалізувало активність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γ-глутамілтранспептидази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і лактатдегідрогенази в нирковій тканині моделі пухлинного росту, що свідчить про підтримку цілісності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нефроцитів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і нормалізації біохімічних процесів. </w:t>
      </w:r>
    </w:p>
    <w:p w:rsidR="00B76849" w:rsidRPr="00B76849" w:rsidRDefault="00B76849" w:rsidP="00B76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4. Встановлено, що ріст пухлини і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призводили до інтенсифікації процесу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пероксидного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окиснення ліпідів і окисної модифікації білків у тканині нирок, про що свідчило підвищення концентрації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ТБК-активних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продуктів в 4,5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>–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6,3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і карбонільних груп білків в 1,7</w:t>
      </w:r>
      <w:r w:rsidRPr="00B76849">
        <w:rPr>
          <w:rFonts w:ascii="Times New Roman" w:hAnsi="Times New Roman"/>
          <w:sz w:val="28"/>
          <w:szCs w:val="28"/>
          <w:lang w:val="uk-UA" w:eastAsia="ar-SA"/>
        </w:rPr>
        <w:t>–</w:t>
      </w:r>
      <w:r w:rsidRPr="00B76849">
        <w:rPr>
          <w:rFonts w:ascii="Times New Roman" w:hAnsi="Times New Roman"/>
          <w:sz w:val="28"/>
          <w:szCs w:val="28"/>
          <w:lang w:val="uk-UA"/>
        </w:rPr>
        <w:t xml:space="preserve">2,0 рази відносно контрольних значень; введення сполук Ренію в усіх експериментах незалежно від структури і способу введення супроводжувалось зниженням концентрації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ТБК-активних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продуктів і карбонільних груп білків практично до контрольного рівня, що демонструє властивість сполук Ренію до зменшення радикальних процесів у нирковій тканині.</w:t>
      </w:r>
    </w:p>
    <w:p w:rsidR="00B76849" w:rsidRPr="00B76849" w:rsidRDefault="00B76849" w:rsidP="00B76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5. Показано, що розвиток новоутворення і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призводить до зниження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тіол-дисульфідного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співвідношення в середньому на 71%, а концентрації низькомолекулярних тіолів в 2,7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, у порівнянні з контролем; введення сполук Ренію призводило до підвищення у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нирок значення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тіол-дисульфідного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849">
        <w:rPr>
          <w:rFonts w:ascii="Times New Roman" w:hAnsi="Times New Roman"/>
          <w:sz w:val="28"/>
          <w:szCs w:val="28"/>
          <w:lang w:val="uk-UA"/>
        </w:rPr>
        <w:lastRenderedPageBreak/>
        <w:t xml:space="preserve">коефіцієнту в середньому на 74%, а концентрації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глутатіону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в середньому на 50% у порівнянні з групою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щурів-пухлиноносіїв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>, що вказує на зниження інтенсивності окисних процесів в нирках за введення ренієвих сполук.</w:t>
      </w:r>
    </w:p>
    <w:p w:rsidR="00B76849" w:rsidRDefault="00B76849" w:rsidP="00B76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849">
        <w:rPr>
          <w:rFonts w:ascii="Times New Roman" w:hAnsi="Times New Roman"/>
          <w:sz w:val="28"/>
          <w:szCs w:val="28"/>
          <w:lang w:val="uk-UA"/>
        </w:rPr>
        <w:t xml:space="preserve">6. Відмічено, що у процесі розвитку пухлини і введення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цисплатину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морфологічні зміни відбуваються в корі нирок та полягають у появі значної кількості повнокровних судин, ділянок крововиливів, ушкодженні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гломерулярних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канальцевих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клітин, втраті чітких контурів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канальцевого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епітелію, його злущування і закупорювання </w:t>
      </w:r>
      <w:proofErr w:type="spellStart"/>
      <w:r w:rsidRPr="00B76849">
        <w:rPr>
          <w:rFonts w:ascii="Times New Roman" w:hAnsi="Times New Roman"/>
          <w:sz w:val="28"/>
          <w:szCs w:val="28"/>
          <w:lang w:val="uk-UA"/>
        </w:rPr>
        <w:t>канальцевого</w:t>
      </w:r>
      <w:proofErr w:type="spellEnd"/>
      <w:r w:rsidRPr="00B76849">
        <w:rPr>
          <w:rFonts w:ascii="Times New Roman" w:hAnsi="Times New Roman"/>
          <w:sz w:val="28"/>
          <w:szCs w:val="28"/>
          <w:lang w:val="uk-UA"/>
        </w:rPr>
        <w:t xml:space="preserve"> простору; введення ренієвих сполук сприяло нормалізації морфологічної структури ниркової тканини зі зменшенням ознак деструктивних процесів у клітинах нефрону. </w:t>
      </w:r>
    </w:p>
    <w:p w:rsidR="003C7E49" w:rsidRDefault="003C7E49" w:rsidP="00B76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Вперше</w:t>
      </w:r>
      <w:r w:rsidRPr="003C7E49">
        <w:rPr>
          <w:rFonts w:ascii="Times New Roman" w:hAnsi="Times New Roman"/>
          <w:sz w:val="28"/>
          <w:szCs w:val="28"/>
          <w:lang w:val="uk-UA"/>
        </w:rPr>
        <w:t xml:space="preserve"> досліджено вплив введення </w:t>
      </w:r>
      <w:proofErr w:type="spellStart"/>
      <w:r w:rsidRPr="003C7E49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Pr="003C7E49">
        <w:rPr>
          <w:rFonts w:ascii="Times New Roman" w:hAnsi="Times New Roman"/>
          <w:sz w:val="28"/>
          <w:szCs w:val="28"/>
          <w:lang w:val="uk-UA"/>
        </w:rPr>
        <w:t xml:space="preserve"> сполук Ренію, які відрізняються наявністю замісників у структурних радикалах на окисно-відновний стан тканин нирок у моделі </w:t>
      </w:r>
      <w:r>
        <w:rPr>
          <w:rFonts w:ascii="Times New Roman" w:hAnsi="Times New Roman"/>
          <w:sz w:val="28"/>
          <w:szCs w:val="28"/>
          <w:lang w:val="uk-UA"/>
        </w:rPr>
        <w:t xml:space="preserve">гострої </w:t>
      </w:r>
      <w:r w:rsidRPr="003C7E49">
        <w:rPr>
          <w:rFonts w:ascii="Times New Roman" w:hAnsi="Times New Roman"/>
          <w:sz w:val="28"/>
          <w:szCs w:val="28"/>
          <w:lang w:val="uk-UA"/>
        </w:rPr>
        <w:t xml:space="preserve">токсичної нефропатії. Введення обох сполук Ренію призводило до гальмування інтенсивності </w:t>
      </w:r>
      <w:proofErr w:type="spellStart"/>
      <w:r w:rsidRPr="003C7E49">
        <w:rPr>
          <w:rFonts w:ascii="Times New Roman" w:hAnsi="Times New Roman"/>
          <w:sz w:val="28"/>
          <w:szCs w:val="28"/>
          <w:lang w:val="uk-UA"/>
        </w:rPr>
        <w:t>вільнорадикальних</w:t>
      </w:r>
      <w:proofErr w:type="spellEnd"/>
      <w:r w:rsidRPr="003C7E49">
        <w:rPr>
          <w:rFonts w:ascii="Times New Roman" w:hAnsi="Times New Roman"/>
          <w:sz w:val="28"/>
          <w:szCs w:val="28"/>
          <w:lang w:val="uk-UA"/>
        </w:rPr>
        <w:t xml:space="preserve"> реакцій, що віддзеркалювалося в першу чергу на зниженні інтенсивності процесу ПОЛ.</w:t>
      </w:r>
    </w:p>
    <w:p w:rsidR="00B73111" w:rsidRPr="00B31D28" w:rsidRDefault="003C7E49" w:rsidP="00B73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7311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Розроблено методологію введення </w:t>
      </w:r>
      <w:proofErr w:type="spellStart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>цитостатиків</w:t>
      </w:r>
      <w:proofErr w:type="spellEnd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>ліпосомних</w:t>
      </w:r>
      <w:proofErr w:type="spellEnd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формах, що дозволяє досягти одночасно значного протипухлинного ефекту завдяки </w:t>
      </w:r>
      <w:proofErr w:type="spellStart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>синергічній</w:t>
      </w:r>
      <w:proofErr w:type="spellEnd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адитивній дії сполук Ренію і Платини та знизити токсичність сполук Платини на нирки завдяки антиоксидантній активності </w:t>
      </w:r>
      <w:proofErr w:type="spellStart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>почверного</w:t>
      </w:r>
      <w:proofErr w:type="spellEnd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 xml:space="preserve"> зв’язку у складі </w:t>
      </w:r>
      <w:proofErr w:type="spellStart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>кластерних</w:t>
      </w:r>
      <w:proofErr w:type="spellEnd"/>
      <w:r w:rsidR="00B73111" w:rsidRPr="00B31D28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сполук Ренію.</w:t>
      </w:r>
    </w:p>
    <w:p w:rsidR="004262FF" w:rsidRPr="007E65EA" w:rsidRDefault="003C7E49" w:rsidP="007E6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4262FF">
        <w:rPr>
          <w:rFonts w:ascii="Times New Roman" w:hAnsi="Times New Roman"/>
          <w:sz w:val="28"/>
          <w:szCs w:val="28"/>
          <w:lang w:val="uk-UA"/>
        </w:rPr>
        <w:t xml:space="preserve">. Запропоновані </w:t>
      </w:r>
      <w:proofErr w:type="spellStart"/>
      <w:r w:rsidR="004262FF">
        <w:rPr>
          <w:rFonts w:ascii="Times New Roman" w:hAnsi="Times New Roman"/>
          <w:sz w:val="28"/>
          <w:szCs w:val="28"/>
          <w:lang w:val="uk-UA"/>
        </w:rPr>
        <w:t>кластерні</w:t>
      </w:r>
      <w:proofErr w:type="spellEnd"/>
      <w:r w:rsidR="004262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FD5">
        <w:rPr>
          <w:rFonts w:ascii="Times New Roman" w:hAnsi="Times New Roman"/>
          <w:sz w:val="28"/>
          <w:szCs w:val="28"/>
          <w:lang w:val="uk-UA"/>
        </w:rPr>
        <w:t>комплекси</w:t>
      </w:r>
      <w:r w:rsidR="004262FF">
        <w:rPr>
          <w:rFonts w:ascii="Times New Roman" w:hAnsi="Times New Roman"/>
          <w:sz w:val="28"/>
          <w:szCs w:val="28"/>
          <w:lang w:val="uk-UA"/>
        </w:rPr>
        <w:t xml:space="preserve"> ренію </w:t>
      </w:r>
      <w:r w:rsidR="00550FD5">
        <w:rPr>
          <w:rFonts w:ascii="Times New Roman" w:hAnsi="Times New Roman"/>
          <w:sz w:val="28"/>
          <w:szCs w:val="28"/>
          <w:lang w:val="uk-UA"/>
        </w:rPr>
        <w:t xml:space="preserve">є перспективними </w:t>
      </w:r>
      <w:r w:rsidR="004262FF">
        <w:rPr>
          <w:rFonts w:ascii="Times New Roman" w:hAnsi="Times New Roman"/>
          <w:sz w:val="28"/>
          <w:szCs w:val="28"/>
          <w:lang w:val="uk-UA"/>
        </w:rPr>
        <w:t xml:space="preserve">для впровадження в медицину у </w:t>
      </w:r>
      <w:r w:rsidR="003231A1">
        <w:rPr>
          <w:rFonts w:ascii="Times New Roman" w:hAnsi="Times New Roman"/>
          <w:sz w:val="28"/>
          <w:szCs w:val="28"/>
          <w:lang w:val="uk-UA"/>
        </w:rPr>
        <w:t xml:space="preserve">якості сполук, </w:t>
      </w:r>
      <w:r w:rsidR="003231A1" w:rsidRPr="003231A1">
        <w:rPr>
          <w:rFonts w:ascii="Times New Roman" w:hAnsi="Times New Roman"/>
          <w:sz w:val="28"/>
          <w:szCs w:val="28"/>
          <w:lang w:val="uk-UA"/>
        </w:rPr>
        <w:t xml:space="preserve">що  проявляють  антиоксидантні  властивості  з  </w:t>
      </w:r>
      <w:proofErr w:type="spellStart"/>
      <w:r w:rsidR="003231A1" w:rsidRPr="003231A1">
        <w:rPr>
          <w:rFonts w:ascii="Times New Roman" w:hAnsi="Times New Roman"/>
          <w:sz w:val="28"/>
          <w:szCs w:val="28"/>
          <w:lang w:val="uk-UA"/>
        </w:rPr>
        <w:t>нефропротекторною</w:t>
      </w:r>
      <w:proofErr w:type="spellEnd"/>
      <w:r w:rsidR="003231A1" w:rsidRPr="003231A1">
        <w:rPr>
          <w:rFonts w:ascii="Times New Roman" w:hAnsi="Times New Roman"/>
          <w:sz w:val="28"/>
          <w:szCs w:val="28"/>
          <w:lang w:val="uk-UA"/>
        </w:rPr>
        <w:t xml:space="preserve">  активністю</w:t>
      </w:r>
      <w:r w:rsidR="003231A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231A1" w:rsidRPr="003231A1">
        <w:rPr>
          <w:rFonts w:ascii="Times New Roman" w:hAnsi="Times New Roman"/>
          <w:sz w:val="28"/>
          <w:szCs w:val="28"/>
          <w:lang w:val="uk-UA"/>
        </w:rPr>
        <w:t xml:space="preserve">Заявлені  комплексні  сполуки  можуть  бути  використані  у </w:t>
      </w:r>
      <w:r w:rsidR="003231A1">
        <w:rPr>
          <w:rFonts w:ascii="Times New Roman" w:hAnsi="Times New Roman"/>
          <w:sz w:val="28"/>
          <w:szCs w:val="28"/>
          <w:lang w:val="uk-UA"/>
        </w:rPr>
        <w:t>протипухлинній терапії, як окремі діючі речовини, так і у комбінованій те</w:t>
      </w:r>
      <w:r w:rsidR="007E65EA">
        <w:rPr>
          <w:rFonts w:ascii="Times New Roman" w:hAnsi="Times New Roman"/>
          <w:sz w:val="28"/>
          <w:szCs w:val="28"/>
          <w:lang w:val="uk-UA"/>
        </w:rPr>
        <w:t xml:space="preserve">рапії з відомими </w:t>
      </w:r>
      <w:proofErr w:type="spellStart"/>
      <w:r w:rsidR="007E65EA">
        <w:rPr>
          <w:rFonts w:ascii="Times New Roman" w:hAnsi="Times New Roman"/>
          <w:sz w:val="28"/>
          <w:szCs w:val="28"/>
          <w:lang w:val="uk-UA"/>
        </w:rPr>
        <w:t>цитостатиками</w:t>
      </w:r>
      <w:proofErr w:type="spellEnd"/>
      <w:r w:rsidR="007E65EA">
        <w:rPr>
          <w:rFonts w:ascii="Times New Roman" w:hAnsi="Times New Roman"/>
          <w:sz w:val="28"/>
          <w:szCs w:val="28"/>
          <w:lang w:val="uk-UA"/>
        </w:rPr>
        <w:t xml:space="preserve">, а також є </w:t>
      </w:r>
      <w:r w:rsidR="007E65EA" w:rsidRPr="007E65EA">
        <w:rPr>
          <w:rFonts w:ascii="Times New Roman" w:hAnsi="Times New Roman"/>
          <w:sz w:val="28"/>
          <w:szCs w:val="28"/>
          <w:lang w:val="uk-UA"/>
        </w:rPr>
        <w:t xml:space="preserve">підґрунтям для розробки засобів і схем корекції онкологічних захворювань та патологій, пов’язаних з порушенням </w:t>
      </w:r>
      <w:proofErr w:type="spellStart"/>
      <w:r w:rsidR="007E65EA" w:rsidRPr="007E65EA">
        <w:rPr>
          <w:rFonts w:ascii="Times New Roman" w:hAnsi="Times New Roman"/>
          <w:sz w:val="28"/>
          <w:szCs w:val="28"/>
          <w:lang w:val="uk-UA"/>
        </w:rPr>
        <w:t>прооксидантно-антиоксидантної</w:t>
      </w:r>
      <w:proofErr w:type="spellEnd"/>
      <w:r w:rsidR="007E65EA" w:rsidRPr="007E65EA">
        <w:rPr>
          <w:rFonts w:ascii="Times New Roman" w:hAnsi="Times New Roman"/>
          <w:sz w:val="28"/>
          <w:szCs w:val="28"/>
          <w:lang w:val="uk-UA"/>
        </w:rPr>
        <w:t xml:space="preserve"> рівноваги</w:t>
      </w:r>
      <w:r w:rsidR="007E65EA">
        <w:rPr>
          <w:rFonts w:ascii="Times New Roman" w:hAnsi="Times New Roman"/>
          <w:sz w:val="28"/>
          <w:szCs w:val="28"/>
          <w:lang w:val="uk-UA"/>
        </w:rPr>
        <w:t>.</w:t>
      </w:r>
    </w:p>
    <w:p w:rsidR="00C11686" w:rsidRDefault="00C11686" w:rsidP="005D2B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D2BD8" w:rsidRPr="005D2BD8" w:rsidRDefault="005D2BD8" w:rsidP="005D2B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D2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ПЕРЕЛІК УМОВНИХ СКОРОЧЕНЬ</w:t>
      </w:r>
    </w:p>
    <w:p w:rsidR="00454156" w:rsidRPr="00454156" w:rsidRDefault="00454156" w:rsidP="0045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ГТП – </w:t>
      </w:r>
      <w:proofErr w:type="spellStart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γ-глутамілтранспептидаза</w:t>
      </w:r>
      <w:proofErr w:type="spellEnd"/>
    </w:p>
    <w:p w:rsidR="00454156" w:rsidRPr="00454156" w:rsidRDefault="00454156" w:rsidP="0045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ЛДГ – лактатдегідрогеназа </w:t>
      </w:r>
    </w:p>
    <w:p w:rsidR="00454156" w:rsidRPr="00454156" w:rsidRDefault="00454156" w:rsidP="0045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 – </w:t>
      </w:r>
      <w:proofErr w:type="spellStart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пероксидне</w:t>
      </w:r>
      <w:proofErr w:type="spellEnd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окиснення ліпідів</w:t>
      </w:r>
    </w:p>
    <w:p w:rsidR="00454156" w:rsidRPr="00454156" w:rsidRDefault="00454156" w:rsidP="0045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ТБК – </w:t>
      </w:r>
      <w:proofErr w:type="spellStart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тіобарбітурова</w:t>
      </w:r>
      <w:proofErr w:type="spellEnd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кислота</w:t>
      </w:r>
    </w:p>
    <w:p w:rsidR="00454156" w:rsidRPr="00454156" w:rsidRDefault="00454156" w:rsidP="0045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ТДК – </w:t>
      </w:r>
      <w:proofErr w:type="spellStart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тіол-дисульфідний</w:t>
      </w:r>
      <w:proofErr w:type="spellEnd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коефіцієнт</w:t>
      </w:r>
    </w:p>
    <w:p w:rsidR="00454156" w:rsidRPr="00454156" w:rsidRDefault="00454156" w:rsidP="0045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сPt</w:t>
      </w:r>
      <w:proofErr w:type="spellEnd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цисплатин</w:t>
      </w:r>
      <w:proofErr w:type="spellEnd"/>
    </w:p>
    <w:p w:rsidR="00454156" w:rsidRPr="00454156" w:rsidRDefault="00454156" w:rsidP="0045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</w:t>
      </w:r>
      <w:proofErr w:type="spellEnd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кластерна</w:t>
      </w:r>
      <w:proofErr w:type="spellEnd"/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сполука Ренію (група сполук)</w:t>
      </w:r>
    </w:p>
    <w:p w:rsidR="009A78BE" w:rsidRPr="00454156" w:rsidRDefault="00454156" w:rsidP="00454156">
      <w:pPr>
        <w:spacing w:after="0" w:line="240" w:lineRule="auto"/>
      </w:pPr>
      <w:r w:rsidRPr="004541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Re-Pt – Реній-Платинова система (група сполук)</w:t>
      </w:r>
    </w:p>
    <w:sectPr w:rsidR="009A78BE" w:rsidRPr="00454156" w:rsidSect="00592F8E">
      <w:headerReference w:type="default" r:id="rId11"/>
      <w:pgSz w:w="11906" w:h="16838"/>
      <w:pgMar w:top="2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23" w:rsidRDefault="00744823" w:rsidP="00592F8E">
      <w:pPr>
        <w:spacing w:after="0" w:line="240" w:lineRule="auto"/>
      </w:pPr>
      <w:r>
        <w:separator/>
      </w:r>
    </w:p>
  </w:endnote>
  <w:endnote w:type="continuationSeparator" w:id="0">
    <w:p w:rsidR="00744823" w:rsidRDefault="00744823" w:rsidP="0059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23" w:rsidRDefault="00744823" w:rsidP="00592F8E">
      <w:pPr>
        <w:spacing w:after="0" w:line="240" w:lineRule="auto"/>
      </w:pPr>
      <w:r>
        <w:separator/>
      </w:r>
    </w:p>
  </w:footnote>
  <w:footnote w:type="continuationSeparator" w:id="0">
    <w:p w:rsidR="00744823" w:rsidRDefault="00744823" w:rsidP="0059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D8" w:rsidRDefault="007A60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591">
      <w:rPr>
        <w:noProof/>
      </w:rPr>
      <w:t>9</w:t>
    </w:r>
    <w:r>
      <w:fldChar w:fldCharType="end"/>
    </w:r>
  </w:p>
  <w:p w:rsidR="007D5DD8" w:rsidRPr="00592F8E" w:rsidRDefault="00744823">
    <w:pPr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B76"/>
    <w:multiLevelType w:val="hybridMultilevel"/>
    <w:tmpl w:val="28106174"/>
    <w:lvl w:ilvl="0" w:tplc="F65A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D173A6"/>
    <w:multiLevelType w:val="hybridMultilevel"/>
    <w:tmpl w:val="AF20D26A"/>
    <w:lvl w:ilvl="0" w:tplc="5C22E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13E7"/>
    <w:multiLevelType w:val="hybridMultilevel"/>
    <w:tmpl w:val="6688F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6C7557"/>
    <w:multiLevelType w:val="hybridMultilevel"/>
    <w:tmpl w:val="1CC657AA"/>
    <w:lvl w:ilvl="0" w:tplc="B440A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61BD4"/>
    <w:multiLevelType w:val="hybridMultilevel"/>
    <w:tmpl w:val="4DECE878"/>
    <w:lvl w:ilvl="0" w:tplc="322C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80998"/>
    <w:multiLevelType w:val="hybridMultilevel"/>
    <w:tmpl w:val="54AA68EE"/>
    <w:lvl w:ilvl="0" w:tplc="FAE480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F7"/>
    <w:rsid w:val="001E217F"/>
    <w:rsid w:val="003231A1"/>
    <w:rsid w:val="003C7E49"/>
    <w:rsid w:val="004262FF"/>
    <w:rsid w:val="00454156"/>
    <w:rsid w:val="00501FD3"/>
    <w:rsid w:val="00550FD5"/>
    <w:rsid w:val="00592F8E"/>
    <w:rsid w:val="005D2BD8"/>
    <w:rsid w:val="00744823"/>
    <w:rsid w:val="007A6043"/>
    <w:rsid w:val="007E65EA"/>
    <w:rsid w:val="008F729B"/>
    <w:rsid w:val="009A78BE"/>
    <w:rsid w:val="00AE282B"/>
    <w:rsid w:val="00B35282"/>
    <w:rsid w:val="00B73111"/>
    <w:rsid w:val="00B76849"/>
    <w:rsid w:val="00BE4310"/>
    <w:rsid w:val="00C11686"/>
    <w:rsid w:val="00CF1E90"/>
    <w:rsid w:val="00D12591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6849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7684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B76849"/>
    <w:pPr>
      <w:keepNext/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684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7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7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longtext">
    <w:name w:val="long_text"/>
    <w:uiPriority w:val="99"/>
    <w:rsid w:val="00B76849"/>
  </w:style>
  <w:style w:type="paragraph" w:customStyle="1" w:styleId="0">
    <w:name w:val="0 Текст"/>
    <w:basedOn w:val="a"/>
    <w:uiPriority w:val="99"/>
    <w:rsid w:val="00B7684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Cs w:val="24"/>
      <w:lang w:val="uk-UA" w:eastAsia="ar-SA"/>
    </w:rPr>
  </w:style>
  <w:style w:type="paragraph" w:styleId="31">
    <w:name w:val="Body Text Indent 3"/>
    <w:basedOn w:val="a"/>
    <w:link w:val="32"/>
    <w:uiPriority w:val="99"/>
    <w:semiHidden/>
    <w:rsid w:val="00B76849"/>
    <w:pPr>
      <w:spacing w:after="120"/>
      <w:ind w:left="283"/>
    </w:pPr>
    <w:rPr>
      <w:rFonts w:ascii="Calibri" w:eastAsia="Times New Roman" w:hAnsi="Calibri" w:cs="Times New Roman"/>
      <w:sz w:val="16"/>
      <w:szCs w:val="20"/>
      <w:lang w:val="uk-UA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6849"/>
    <w:rPr>
      <w:rFonts w:ascii="Calibri" w:eastAsia="Times New Roman" w:hAnsi="Calibri" w:cs="Times New Roman"/>
      <w:sz w:val="16"/>
      <w:szCs w:val="20"/>
      <w:lang w:val="uk-UA" w:eastAsia="x-none"/>
    </w:rPr>
  </w:style>
  <w:style w:type="paragraph" w:styleId="a7">
    <w:name w:val="List Paragraph"/>
    <w:basedOn w:val="a"/>
    <w:uiPriority w:val="99"/>
    <w:qFormat/>
    <w:rsid w:val="00B76849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uiPriority w:val="99"/>
    <w:rsid w:val="00B76849"/>
    <w:pPr>
      <w:spacing w:after="120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B76849"/>
    <w:rPr>
      <w:rFonts w:ascii="Calibri" w:eastAsia="Times New Roman" w:hAnsi="Calibri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B76849"/>
    <w:pPr>
      <w:spacing w:after="120"/>
      <w:ind w:left="283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76849"/>
    <w:rPr>
      <w:rFonts w:ascii="Calibri" w:eastAsia="Times New Roman" w:hAnsi="Calibri" w:cs="Times New Roman"/>
      <w:sz w:val="20"/>
      <w:szCs w:val="20"/>
      <w:lang w:val="uk-UA"/>
    </w:rPr>
  </w:style>
  <w:style w:type="paragraph" w:styleId="ac">
    <w:name w:val="footer"/>
    <w:basedOn w:val="a"/>
    <w:link w:val="ad"/>
    <w:uiPriority w:val="99"/>
    <w:rsid w:val="00B768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d">
    <w:name w:val="Нижний колонтитул Знак"/>
    <w:basedOn w:val="a0"/>
    <w:link w:val="ac"/>
    <w:uiPriority w:val="99"/>
    <w:rsid w:val="00B76849"/>
    <w:rPr>
      <w:rFonts w:ascii="Calibri" w:eastAsia="Times New Roman" w:hAnsi="Calibri" w:cs="Times New Roman"/>
      <w:lang w:val="uk-UA"/>
    </w:rPr>
  </w:style>
  <w:style w:type="paragraph" w:styleId="ae">
    <w:name w:val="endnote text"/>
    <w:basedOn w:val="a"/>
    <w:link w:val="af"/>
    <w:uiPriority w:val="99"/>
    <w:semiHidden/>
    <w:unhideWhenUsed/>
    <w:rsid w:val="00B76849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76849"/>
    <w:rPr>
      <w:rFonts w:ascii="Calibri" w:eastAsia="Times New Roman" w:hAnsi="Calibri" w:cs="Times New Roman"/>
      <w:sz w:val="20"/>
      <w:szCs w:val="20"/>
      <w:lang w:val="uk-UA"/>
    </w:rPr>
  </w:style>
  <w:style w:type="character" w:styleId="af0">
    <w:name w:val="endnote reference"/>
    <w:uiPriority w:val="99"/>
    <w:semiHidden/>
    <w:unhideWhenUsed/>
    <w:rsid w:val="00B76849"/>
    <w:rPr>
      <w:rFonts w:cs="Times New Roman"/>
      <w:vertAlign w:val="superscript"/>
    </w:rPr>
  </w:style>
  <w:style w:type="paragraph" w:styleId="af1">
    <w:name w:val="Normal (Web)"/>
    <w:basedOn w:val="a"/>
    <w:uiPriority w:val="99"/>
    <w:unhideWhenUsed/>
    <w:rsid w:val="00B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B7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7684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6849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7684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B76849"/>
    <w:pPr>
      <w:keepNext/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684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7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7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longtext">
    <w:name w:val="long_text"/>
    <w:uiPriority w:val="99"/>
    <w:rsid w:val="00B76849"/>
  </w:style>
  <w:style w:type="paragraph" w:customStyle="1" w:styleId="0">
    <w:name w:val="0 Текст"/>
    <w:basedOn w:val="a"/>
    <w:uiPriority w:val="99"/>
    <w:rsid w:val="00B7684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Cs w:val="24"/>
      <w:lang w:val="uk-UA" w:eastAsia="ar-SA"/>
    </w:rPr>
  </w:style>
  <w:style w:type="paragraph" w:styleId="31">
    <w:name w:val="Body Text Indent 3"/>
    <w:basedOn w:val="a"/>
    <w:link w:val="32"/>
    <w:uiPriority w:val="99"/>
    <w:semiHidden/>
    <w:rsid w:val="00B76849"/>
    <w:pPr>
      <w:spacing w:after="120"/>
      <w:ind w:left="283"/>
    </w:pPr>
    <w:rPr>
      <w:rFonts w:ascii="Calibri" w:eastAsia="Times New Roman" w:hAnsi="Calibri" w:cs="Times New Roman"/>
      <w:sz w:val="16"/>
      <w:szCs w:val="20"/>
      <w:lang w:val="uk-UA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6849"/>
    <w:rPr>
      <w:rFonts w:ascii="Calibri" w:eastAsia="Times New Roman" w:hAnsi="Calibri" w:cs="Times New Roman"/>
      <w:sz w:val="16"/>
      <w:szCs w:val="20"/>
      <w:lang w:val="uk-UA" w:eastAsia="x-none"/>
    </w:rPr>
  </w:style>
  <w:style w:type="paragraph" w:styleId="a7">
    <w:name w:val="List Paragraph"/>
    <w:basedOn w:val="a"/>
    <w:uiPriority w:val="99"/>
    <w:qFormat/>
    <w:rsid w:val="00B76849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uiPriority w:val="99"/>
    <w:rsid w:val="00B76849"/>
    <w:pPr>
      <w:spacing w:after="120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B76849"/>
    <w:rPr>
      <w:rFonts w:ascii="Calibri" w:eastAsia="Times New Roman" w:hAnsi="Calibri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B76849"/>
    <w:pPr>
      <w:spacing w:after="120"/>
      <w:ind w:left="283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76849"/>
    <w:rPr>
      <w:rFonts w:ascii="Calibri" w:eastAsia="Times New Roman" w:hAnsi="Calibri" w:cs="Times New Roman"/>
      <w:sz w:val="20"/>
      <w:szCs w:val="20"/>
      <w:lang w:val="uk-UA"/>
    </w:rPr>
  </w:style>
  <w:style w:type="paragraph" w:styleId="ac">
    <w:name w:val="footer"/>
    <w:basedOn w:val="a"/>
    <w:link w:val="ad"/>
    <w:uiPriority w:val="99"/>
    <w:rsid w:val="00B768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d">
    <w:name w:val="Нижний колонтитул Знак"/>
    <w:basedOn w:val="a0"/>
    <w:link w:val="ac"/>
    <w:uiPriority w:val="99"/>
    <w:rsid w:val="00B76849"/>
    <w:rPr>
      <w:rFonts w:ascii="Calibri" w:eastAsia="Times New Roman" w:hAnsi="Calibri" w:cs="Times New Roman"/>
      <w:lang w:val="uk-UA"/>
    </w:rPr>
  </w:style>
  <w:style w:type="paragraph" w:styleId="ae">
    <w:name w:val="endnote text"/>
    <w:basedOn w:val="a"/>
    <w:link w:val="af"/>
    <w:uiPriority w:val="99"/>
    <w:semiHidden/>
    <w:unhideWhenUsed/>
    <w:rsid w:val="00B76849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76849"/>
    <w:rPr>
      <w:rFonts w:ascii="Calibri" w:eastAsia="Times New Roman" w:hAnsi="Calibri" w:cs="Times New Roman"/>
      <w:sz w:val="20"/>
      <w:szCs w:val="20"/>
      <w:lang w:val="uk-UA"/>
    </w:rPr>
  </w:style>
  <w:style w:type="character" w:styleId="af0">
    <w:name w:val="endnote reference"/>
    <w:uiPriority w:val="99"/>
    <w:semiHidden/>
    <w:unhideWhenUsed/>
    <w:rsid w:val="00B76849"/>
    <w:rPr>
      <w:rFonts w:cs="Times New Roman"/>
      <w:vertAlign w:val="superscript"/>
    </w:rPr>
  </w:style>
  <w:style w:type="paragraph" w:styleId="af1">
    <w:name w:val="Normal (Web)"/>
    <w:basedOn w:val="a"/>
    <w:uiPriority w:val="99"/>
    <w:unhideWhenUsed/>
    <w:rsid w:val="00B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B7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7684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elena</cp:lastModifiedBy>
  <cp:revision>2</cp:revision>
  <dcterms:created xsi:type="dcterms:W3CDTF">2016-02-26T09:00:00Z</dcterms:created>
  <dcterms:modified xsi:type="dcterms:W3CDTF">2016-02-26T09:00:00Z</dcterms:modified>
</cp:coreProperties>
</file>